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214F7" w14:textId="77777777" w:rsidR="00D3440E" w:rsidRDefault="00D3440E" w:rsidP="006D19AA">
      <w:pPr>
        <w:rPr>
          <w:b/>
          <w:szCs w:val="24"/>
        </w:rPr>
      </w:pPr>
      <w:bookmarkStart w:id="0" w:name="_GoBack"/>
      <w:bookmarkEnd w:id="0"/>
    </w:p>
    <w:p w14:paraId="2EEB076C" w14:textId="77777777" w:rsidR="00DD5FE3" w:rsidRPr="00C31C1B" w:rsidRDefault="00DD5FE3" w:rsidP="006D19AA">
      <w:pPr>
        <w:rPr>
          <w:b/>
          <w:szCs w:val="24"/>
        </w:rPr>
      </w:pPr>
      <w:r w:rsidRPr="00C31C1B">
        <w:rPr>
          <w:b/>
          <w:szCs w:val="24"/>
        </w:rPr>
        <w:t>Overview</w:t>
      </w:r>
    </w:p>
    <w:p w14:paraId="09887CD9" w14:textId="03E15E1C" w:rsidR="00E405D4" w:rsidRPr="00430896" w:rsidRDefault="00C31C1B" w:rsidP="00430896">
      <w:pPr>
        <w:jc w:val="both"/>
        <w:rPr>
          <w:sz w:val="22"/>
        </w:rPr>
      </w:pPr>
      <w:r>
        <w:rPr>
          <w:sz w:val="22"/>
        </w:rPr>
        <w:t>The adult drug court data improvement project</w:t>
      </w:r>
      <w:r w:rsidR="000E0200">
        <w:rPr>
          <w:sz w:val="22"/>
        </w:rPr>
        <w:t>, a partnership between Washington’s adult felony drug courts and the</w:t>
      </w:r>
      <w:r>
        <w:rPr>
          <w:sz w:val="22"/>
        </w:rPr>
        <w:t xml:space="preserve"> </w:t>
      </w:r>
      <w:r w:rsidR="000E0200">
        <w:rPr>
          <w:sz w:val="22"/>
        </w:rPr>
        <w:t>Washington S</w:t>
      </w:r>
      <w:r w:rsidR="002B53EB">
        <w:rPr>
          <w:sz w:val="22"/>
        </w:rPr>
        <w:t>tate Center for Court Research</w:t>
      </w:r>
      <w:r w:rsidR="000E0200">
        <w:rPr>
          <w:sz w:val="22"/>
        </w:rPr>
        <w:t xml:space="preserve"> (WSCCR), </w:t>
      </w:r>
      <w:r>
        <w:rPr>
          <w:sz w:val="22"/>
        </w:rPr>
        <w:t>collect</w:t>
      </w:r>
      <w:r w:rsidR="002F5ACD">
        <w:rPr>
          <w:sz w:val="22"/>
        </w:rPr>
        <w:t>s</w:t>
      </w:r>
      <w:r>
        <w:rPr>
          <w:sz w:val="22"/>
        </w:rPr>
        <w:t xml:space="preserve"> and report</w:t>
      </w:r>
      <w:r w:rsidR="002F5ACD">
        <w:rPr>
          <w:sz w:val="22"/>
        </w:rPr>
        <w:t>s</w:t>
      </w:r>
      <w:r>
        <w:rPr>
          <w:sz w:val="22"/>
        </w:rPr>
        <w:t xml:space="preserve"> statewide information that policy makers, judicial leadership and local court managers can use.  </w:t>
      </w:r>
      <w:r w:rsidR="00C868BF">
        <w:rPr>
          <w:sz w:val="22"/>
        </w:rPr>
        <w:t>Its</w:t>
      </w:r>
      <w:r>
        <w:rPr>
          <w:sz w:val="22"/>
        </w:rPr>
        <w:t xml:space="preserve"> focus is </w:t>
      </w:r>
      <w:r w:rsidR="002F5ACD">
        <w:rPr>
          <w:sz w:val="22"/>
        </w:rPr>
        <w:t xml:space="preserve">to collect basic </w:t>
      </w:r>
      <w:r>
        <w:rPr>
          <w:sz w:val="22"/>
        </w:rPr>
        <w:t>information about drug court participants</w:t>
      </w:r>
      <w:r w:rsidR="002F5ACD">
        <w:rPr>
          <w:sz w:val="22"/>
        </w:rPr>
        <w:t xml:space="preserve"> and process into a </w:t>
      </w:r>
      <w:r w:rsidR="004B218F">
        <w:rPr>
          <w:sz w:val="22"/>
        </w:rPr>
        <w:t xml:space="preserve">data repository </w:t>
      </w:r>
      <w:r w:rsidR="002F5ACD">
        <w:rPr>
          <w:sz w:val="22"/>
        </w:rPr>
        <w:t>that can provide information essential to understanding the extent to which our drug courts fulfill their mission</w:t>
      </w:r>
      <w:r>
        <w:rPr>
          <w:sz w:val="22"/>
        </w:rPr>
        <w:t>.</w:t>
      </w:r>
      <w:r w:rsidR="002F5ACD">
        <w:rPr>
          <w:sz w:val="22"/>
        </w:rPr>
        <w:t xml:space="preserve">  </w:t>
      </w:r>
    </w:p>
    <w:p w14:paraId="542A56AA" w14:textId="77777777" w:rsidR="00874BC8" w:rsidRDefault="00874BC8" w:rsidP="00471426">
      <w:pPr>
        <w:ind w:left="360"/>
      </w:pPr>
    </w:p>
    <w:p w14:paraId="774B9CAF" w14:textId="6D2D8D2C" w:rsidR="00AD4F0F" w:rsidRPr="00290F92" w:rsidRDefault="004D5DD1" w:rsidP="00290F92">
      <w:pPr>
        <w:jc w:val="both"/>
        <w:rPr>
          <w:sz w:val="22"/>
        </w:rPr>
      </w:pPr>
      <w:r w:rsidRPr="00290F92">
        <w:rPr>
          <w:sz w:val="22"/>
        </w:rPr>
        <w:t xml:space="preserve">The use of data for program improvement </w:t>
      </w:r>
      <w:r w:rsidR="00067E37" w:rsidRPr="00290F92">
        <w:rPr>
          <w:sz w:val="22"/>
        </w:rPr>
        <w:t xml:space="preserve">is an </w:t>
      </w:r>
      <w:r w:rsidRPr="00290F92">
        <w:rPr>
          <w:sz w:val="22"/>
        </w:rPr>
        <w:t>established evidence</w:t>
      </w:r>
      <w:r w:rsidR="002F5ACD">
        <w:rPr>
          <w:sz w:val="22"/>
        </w:rPr>
        <w:t>-</w:t>
      </w:r>
      <w:r w:rsidRPr="00290F92">
        <w:rPr>
          <w:sz w:val="22"/>
        </w:rPr>
        <w:t>based best practice</w:t>
      </w:r>
      <w:r w:rsidR="002F5ACD">
        <w:rPr>
          <w:sz w:val="22"/>
        </w:rPr>
        <w:t>,</w:t>
      </w:r>
      <w:r w:rsidRPr="00290F92">
        <w:rPr>
          <w:sz w:val="22"/>
        </w:rPr>
        <w:t xml:space="preserve"> demonstrated for drug courts and in other arenas</w:t>
      </w:r>
      <w:r w:rsidR="008B7BDE">
        <w:rPr>
          <w:sz w:val="22"/>
        </w:rPr>
        <w:t>.</w:t>
      </w:r>
      <w:r w:rsidR="000E0200" w:rsidRPr="00290F92">
        <w:rPr>
          <w:rStyle w:val="FootnoteReference"/>
          <w:sz w:val="22"/>
        </w:rPr>
        <w:footnoteReference w:id="2"/>
      </w:r>
      <w:r w:rsidRPr="00290F92">
        <w:rPr>
          <w:sz w:val="22"/>
        </w:rPr>
        <w:t xml:space="preserve">  </w:t>
      </w:r>
      <w:r w:rsidR="00067E37" w:rsidRPr="00290F92">
        <w:rPr>
          <w:sz w:val="22"/>
        </w:rPr>
        <w:t xml:space="preserve">Courts and other organizations </w:t>
      </w:r>
      <w:r w:rsidRPr="00290F92">
        <w:rPr>
          <w:sz w:val="22"/>
        </w:rPr>
        <w:t>produce better outcomes</w:t>
      </w:r>
      <w:r w:rsidR="00067E37" w:rsidRPr="00290F92">
        <w:rPr>
          <w:sz w:val="22"/>
        </w:rPr>
        <w:t xml:space="preserve"> when they use data to make decisions</w:t>
      </w:r>
      <w:r w:rsidRPr="00290F92">
        <w:rPr>
          <w:sz w:val="22"/>
        </w:rPr>
        <w:t>.  NPC R</w:t>
      </w:r>
      <w:r w:rsidR="00060A1A">
        <w:rPr>
          <w:sz w:val="22"/>
        </w:rPr>
        <w:t>esearch, a leading organization</w:t>
      </w:r>
      <w:r w:rsidRPr="00290F92">
        <w:rPr>
          <w:sz w:val="22"/>
        </w:rPr>
        <w:t xml:space="preserve"> studying therapeutic courts</w:t>
      </w:r>
      <w:r w:rsidR="0075014F">
        <w:rPr>
          <w:sz w:val="22"/>
        </w:rPr>
        <w:t>,</w:t>
      </w:r>
      <w:r w:rsidRPr="00290F92">
        <w:rPr>
          <w:sz w:val="22"/>
        </w:rPr>
        <w:t xml:space="preserve"> has found use of data to be the number one best practice for generating cost savings</w:t>
      </w:r>
      <w:r w:rsidR="00290F92">
        <w:rPr>
          <w:sz w:val="22"/>
        </w:rPr>
        <w:t>.</w:t>
      </w:r>
      <w:r w:rsidR="00D90C60" w:rsidRPr="00290F92">
        <w:rPr>
          <w:rStyle w:val="FootnoteReference"/>
          <w:sz w:val="22"/>
        </w:rPr>
        <w:footnoteReference w:id="3"/>
      </w:r>
      <w:r w:rsidRPr="00290F92">
        <w:rPr>
          <w:sz w:val="22"/>
        </w:rPr>
        <w:t xml:space="preserve">  </w:t>
      </w:r>
      <w:r w:rsidR="00290F92">
        <w:rPr>
          <w:sz w:val="22"/>
        </w:rPr>
        <w:t xml:space="preserve">NPC stated: </w:t>
      </w:r>
      <w:r w:rsidRPr="00290F92">
        <w:rPr>
          <w:sz w:val="22"/>
        </w:rPr>
        <w:t>“</w:t>
      </w:r>
      <w:r w:rsidRPr="00290F92">
        <w:rPr>
          <w:i/>
          <w:iCs/>
          <w:sz w:val="22"/>
        </w:rPr>
        <w:t>Drug Courts where internal review of the data and program statistics led to modifications in program operations had 131% higher cost savings.</w:t>
      </w:r>
      <w:r w:rsidRPr="00ED6EA3">
        <w:rPr>
          <w:i/>
          <w:iCs/>
          <w:sz w:val="22"/>
        </w:rPr>
        <w:t>”</w:t>
      </w:r>
      <w:r w:rsidR="00D90C60" w:rsidRPr="00ED6EA3">
        <w:rPr>
          <w:rStyle w:val="FootnoteReference"/>
          <w:iCs/>
          <w:sz w:val="22"/>
        </w:rPr>
        <w:footnoteReference w:id="4"/>
      </w:r>
      <w:r w:rsidR="00D90C60" w:rsidRPr="00AF6526">
        <w:rPr>
          <w:iCs/>
          <w:sz w:val="22"/>
        </w:rPr>
        <w:t xml:space="preserve"> </w:t>
      </w:r>
      <w:r w:rsidR="00D90C60" w:rsidRPr="00290F92">
        <w:rPr>
          <w:i/>
          <w:iCs/>
          <w:sz w:val="22"/>
        </w:rPr>
        <w:t xml:space="preserve"> </w:t>
      </w:r>
      <w:r w:rsidR="00290F92" w:rsidRPr="00290F92">
        <w:rPr>
          <w:iCs/>
          <w:sz w:val="22"/>
        </w:rPr>
        <w:t>Similar</w:t>
      </w:r>
      <w:r w:rsidR="00290F92">
        <w:rPr>
          <w:iCs/>
          <w:sz w:val="22"/>
        </w:rPr>
        <w:t xml:space="preserve">ly, NPC found </w:t>
      </w:r>
      <w:r w:rsidR="00D90C60" w:rsidRPr="00290F92">
        <w:rPr>
          <w:iCs/>
          <w:sz w:val="22"/>
        </w:rPr>
        <w:t>an 85% reduction in recidivism.</w:t>
      </w:r>
      <w:r w:rsidR="00D90C60" w:rsidRPr="00290F92">
        <w:rPr>
          <w:rStyle w:val="FootnoteReference"/>
          <w:iCs/>
          <w:sz w:val="22"/>
        </w:rPr>
        <w:footnoteReference w:id="5"/>
      </w:r>
      <w:r w:rsidR="00290F92">
        <w:rPr>
          <w:iCs/>
          <w:sz w:val="22"/>
        </w:rPr>
        <w:t xml:space="preserve">  </w:t>
      </w:r>
    </w:p>
    <w:p w14:paraId="2AC6D91E" w14:textId="77777777" w:rsidR="00362640" w:rsidRDefault="00362640" w:rsidP="00746177">
      <w:pPr>
        <w:rPr>
          <w:b/>
          <w:sz w:val="22"/>
        </w:rPr>
      </w:pPr>
    </w:p>
    <w:p w14:paraId="29840AF9" w14:textId="77777777" w:rsidR="007B619E" w:rsidRPr="00290F92" w:rsidRDefault="007B619E" w:rsidP="00335CC1">
      <w:pPr>
        <w:rPr>
          <w:b/>
          <w:sz w:val="22"/>
        </w:rPr>
      </w:pPr>
    </w:p>
    <w:p w14:paraId="49A5B957" w14:textId="77777777" w:rsidR="00335CC1" w:rsidRPr="00C31C1B" w:rsidRDefault="002F5ACD" w:rsidP="00335CC1">
      <w:pPr>
        <w:rPr>
          <w:b/>
          <w:szCs w:val="24"/>
        </w:rPr>
      </w:pPr>
      <w:r>
        <w:rPr>
          <w:b/>
          <w:szCs w:val="24"/>
        </w:rPr>
        <w:t>Updated</w:t>
      </w:r>
      <w:r w:rsidRPr="00C31C1B">
        <w:rPr>
          <w:b/>
          <w:szCs w:val="24"/>
        </w:rPr>
        <w:t xml:space="preserve"> </w:t>
      </w:r>
      <w:r w:rsidR="00335CC1" w:rsidRPr="00C31C1B">
        <w:rPr>
          <w:b/>
          <w:szCs w:val="24"/>
        </w:rPr>
        <w:t>Results</w:t>
      </w:r>
    </w:p>
    <w:p w14:paraId="75C411FF" w14:textId="77777777" w:rsidR="00EE748E" w:rsidRDefault="00AC1BE4" w:rsidP="007A0520">
      <w:pPr>
        <w:jc w:val="both"/>
        <w:rPr>
          <w:sz w:val="22"/>
        </w:rPr>
      </w:pPr>
      <w:r w:rsidRPr="00EE748E">
        <w:rPr>
          <w:sz w:val="22"/>
        </w:rPr>
        <w:t xml:space="preserve">The project did not attempt to compile a historical record going back to the establishment of the drug courts.  Instead the data collection and database includes participants starting drug court on January 1, 2012 and after.  </w:t>
      </w:r>
      <w:r w:rsidR="003E49D6" w:rsidRPr="00EE748E">
        <w:rPr>
          <w:sz w:val="22"/>
          <w:u w:val="single"/>
        </w:rPr>
        <w:t>Th</w:t>
      </w:r>
      <w:r w:rsidRPr="00EE748E">
        <w:rPr>
          <w:sz w:val="22"/>
          <w:u w:val="single"/>
        </w:rPr>
        <w:t>is 201</w:t>
      </w:r>
      <w:r w:rsidR="002945E2">
        <w:rPr>
          <w:sz w:val="22"/>
          <w:u w:val="single"/>
        </w:rPr>
        <w:t>5</w:t>
      </w:r>
      <w:r w:rsidR="003E49D6" w:rsidRPr="00EE748E">
        <w:rPr>
          <w:sz w:val="22"/>
          <w:u w:val="single"/>
        </w:rPr>
        <w:t xml:space="preserve"> report is a </w:t>
      </w:r>
      <w:r w:rsidR="00F41DF6" w:rsidRPr="00EE748E">
        <w:rPr>
          <w:sz w:val="22"/>
          <w:u w:val="single"/>
        </w:rPr>
        <w:t xml:space="preserve">simple </w:t>
      </w:r>
      <w:r w:rsidR="003E49D6" w:rsidRPr="00EE748E">
        <w:rPr>
          <w:sz w:val="22"/>
          <w:u w:val="single"/>
        </w:rPr>
        <w:t xml:space="preserve">snapshot of </w:t>
      </w:r>
      <w:r w:rsidR="005629FF" w:rsidRPr="00EE748E">
        <w:rPr>
          <w:sz w:val="22"/>
          <w:u w:val="single"/>
        </w:rPr>
        <w:t xml:space="preserve">participant </w:t>
      </w:r>
      <w:r w:rsidR="003E49D6" w:rsidRPr="00EE748E">
        <w:rPr>
          <w:sz w:val="22"/>
          <w:u w:val="single"/>
        </w:rPr>
        <w:t>status at the end of 201</w:t>
      </w:r>
      <w:r w:rsidR="002945E2">
        <w:rPr>
          <w:sz w:val="22"/>
          <w:u w:val="single"/>
        </w:rPr>
        <w:t>4</w:t>
      </w:r>
      <w:r w:rsidR="00BB7461" w:rsidRPr="00EE748E">
        <w:rPr>
          <w:sz w:val="22"/>
          <w:u w:val="single"/>
        </w:rPr>
        <w:t xml:space="preserve"> for </w:t>
      </w:r>
      <w:r w:rsidR="005629FF" w:rsidRPr="00EE748E">
        <w:rPr>
          <w:sz w:val="22"/>
          <w:u w:val="single"/>
        </w:rPr>
        <w:t xml:space="preserve">those </w:t>
      </w:r>
      <w:r w:rsidR="00BB7461" w:rsidRPr="00EE748E">
        <w:rPr>
          <w:sz w:val="22"/>
          <w:u w:val="single"/>
        </w:rPr>
        <w:t>starting drug court in 2012</w:t>
      </w:r>
      <w:r w:rsidR="002945E2">
        <w:rPr>
          <w:sz w:val="22"/>
          <w:u w:val="single"/>
        </w:rPr>
        <w:t>,</w:t>
      </w:r>
      <w:r w:rsidR="00BB7461" w:rsidRPr="00EE748E">
        <w:rPr>
          <w:sz w:val="22"/>
          <w:u w:val="single"/>
        </w:rPr>
        <w:t xml:space="preserve"> 2</w:t>
      </w:r>
      <w:r w:rsidR="007857CC">
        <w:rPr>
          <w:sz w:val="22"/>
          <w:u w:val="single"/>
        </w:rPr>
        <w:t>0</w:t>
      </w:r>
      <w:r w:rsidR="00BB7461" w:rsidRPr="00EE748E">
        <w:rPr>
          <w:sz w:val="22"/>
          <w:u w:val="single"/>
        </w:rPr>
        <w:t>13</w:t>
      </w:r>
      <w:r w:rsidR="002945E2">
        <w:rPr>
          <w:sz w:val="22"/>
          <w:u w:val="single"/>
        </w:rPr>
        <w:t xml:space="preserve"> and 2014</w:t>
      </w:r>
      <w:r w:rsidR="003E49D6" w:rsidRPr="00EE748E">
        <w:rPr>
          <w:sz w:val="22"/>
          <w:u w:val="single"/>
        </w:rPr>
        <w:t>.</w:t>
      </w:r>
      <w:r w:rsidR="007A0341" w:rsidRPr="00EE748E">
        <w:rPr>
          <w:sz w:val="22"/>
        </w:rPr>
        <w:t xml:space="preserve">  </w:t>
      </w:r>
      <w:r w:rsidR="00EE748E" w:rsidRPr="003B746E">
        <w:rPr>
          <w:sz w:val="22"/>
        </w:rPr>
        <w:t>No participants admitted before January 1, 2012 or after December 31, 201</w:t>
      </w:r>
      <w:r w:rsidR="002945E2">
        <w:rPr>
          <w:sz w:val="22"/>
        </w:rPr>
        <w:t>4</w:t>
      </w:r>
      <w:r w:rsidR="00EE748E" w:rsidRPr="003B746E">
        <w:rPr>
          <w:sz w:val="22"/>
        </w:rPr>
        <w:t xml:space="preserve"> are included; </w:t>
      </w:r>
      <w:r w:rsidR="00EE748E">
        <w:rPr>
          <w:sz w:val="22"/>
        </w:rPr>
        <w:t>no</w:t>
      </w:r>
      <w:r w:rsidR="00EE748E" w:rsidRPr="003B746E">
        <w:rPr>
          <w:sz w:val="22"/>
        </w:rPr>
        <w:t xml:space="preserve"> events occurring after December </w:t>
      </w:r>
      <w:r w:rsidR="007A7CE3">
        <w:rPr>
          <w:sz w:val="22"/>
        </w:rPr>
        <w:t>31</w:t>
      </w:r>
      <w:r w:rsidR="00EE748E" w:rsidRPr="003B746E">
        <w:rPr>
          <w:sz w:val="22"/>
        </w:rPr>
        <w:t>, 201</w:t>
      </w:r>
      <w:r w:rsidR="002945E2">
        <w:rPr>
          <w:sz w:val="22"/>
        </w:rPr>
        <w:t>4</w:t>
      </w:r>
      <w:r w:rsidR="00EE748E">
        <w:rPr>
          <w:sz w:val="22"/>
        </w:rPr>
        <w:t xml:space="preserve"> are</w:t>
      </w:r>
      <w:r w:rsidR="00EE748E" w:rsidRPr="003B746E">
        <w:rPr>
          <w:sz w:val="22"/>
        </w:rPr>
        <w:t xml:space="preserve"> included.  </w:t>
      </w:r>
      <w:r w:rsidR="00054808">
        <w:rPr>
          <w:sz w:val="22"/>
        </w:rPr>
        <w:t>For this report, w</w:t>
      </w:r>
      <w:r w:rsidR="00B45DD9">
        <w:rPr>
          <w:sz w:val="22"/>
        </w:rPr>
        <w:t>e received data from all 23 jurisdictions with adult drug courts.</w:t>
      </w:r>
    </w:p>
    <w:p w14:paraId="7DF36A34" w14:textId="77777777" w:rsidR="00EE748E" w:rsidRPr="00EE748E" w:rsidRDefault="00EE748E" w:rsidP="003E49D6">
      <w:pPr>
        <w:rPr>
          <w:sz w:val="22"/>
        </w:rPr>
      </w:pPr>
    </w:p>
    <w:p w14:paraId="7E3E55C8" w14:textId="4A0FD22A" w:rsidR="002A6B00" w:rsidRDefault="00BB7461" w:rsidP="00226F70">
      <w:pPr>
        <w:jc w:val="both"/>
        <w:rPr>
          <w:sz w:val="22"/>
        </w:rPr>
      </w:pPr>
      <w:r w:rsidRPr="003A4621">
        <w:rPr>
          <w:sz w:val="22"/>
        </w:rPr>
        <w:t>Because many of the drug court programs take up to 2 years, many participants starting in 201</w:t>
      </w:r>
      <w:r w:rsidR="005074C5" w:rsidRPr="003A4621">
        <w:rPr>
          <w:sz w:val="22"/>
        </w:rPr>
        <w:t>3</w:t>
      </w:r>
      <w:r w:rsidRPr="003A4621">
        <w:rPr>
          <w:sz w:val="22"/>
        </w:rPr>
        <w:t xml:space="preserve"> and 201</w:t>
      </w:r>
      <w:r w:rsidR="005074C5" w:rsidRPr="003A4621">
        <w:rPr>
          <w:sz w:val="22"/>
        </w:rPr>
        <w:t>4</w:t>
      </w:r>
      <w:r w:rsidRPr="003A4621">
        <w:rPr>
          <w:sz w:val="22"/>
        </w:rPr>
        <w:t xml:space="preserve"> were still in their programs on December 31, 201</w:t>
      </w:r>
      <w:r w:rsidR="005074C5" w:rsidRPr="003A4621">
        <w:rPr>
          <w:sz w:val="22"/>
        </w:rPr>
        <w:t>4</w:t>
      </w:r>
      <w:r w:rsidRPr="003A4621">
        <w:rPr>
          <w:sz w:val="22"/>
        </w:rPr>
        <w:t>.  Therefore, at this point we cannot compute accurate</w:t>
      </w:r>
      <w:r w:rsidR="00A83695">
        <w:rPr>
          <w:sz w:val="22"/>
        </w:rPr>
        <w:t>, meaningful</w:t>
      </w:r>
      <w:r w:rsidRPr="003A4621">
        <w:rPr>
          <w:sz w:val="22"/>
        </w:rPr>
        <w:t xml:space="preserve"> statewide graduation</w:t>
      </w:r>
      <w:r w:rsidR="005074C5" w:rsidRPr="003A4621">
        <w:rPr>
          <w:sz w:val="22"/>
        </w:rPr>
        <w:t xml:space="preserve"> and</w:t>
      </w:r>
      <w:r w:rsidRPr="003A4621">
        <w:rPr>
          <w:sz w:val="22"/>
        </w:rPr>
        <w:t xml:space="preserve"> termination</w:t>
      </w:r>
      <w:r w:rsidR="005074C5" w:rsidRPr="003A4621">
        <w:rPr>
          <w:sz w:val="22"/>
        </w:rPr>
        <w:t xml:space="preserve"> rates.  </w:t>
      </w:r>
      <w:r w:rsidR="003A4621" w:rsidRPr="003A4621">
        <w:rPr>
          <w:sz w:val="22"/>
        </w:rPr>
        <w:t>We can, however</w:t>
      </w:r>
      <w:r w:rsidR="00FD6ADA" w:rsidRPr="003A4621">
        <w:rPr>
          <w:sz w:val="22"/>
        </w:rPr>
        <w:t xml:space="preserve">, </w:t>
      </w:r>
      <w:r w:rsidR="00FD6ADA">
        <w:rPr>
          <w:sz w:val="22"/>
        </w:rPr>
        <w:t>compute</w:t>
      </w:r>
      <w:r w:rsidR="003A4621" w:rsidRPr="003A4621">
        <w:rPr>
          <w:sz w:val="22"/>
        </w:rPr>
        <w:t xml:space="preserve"> </w:t>
      </w:r>
      <w:r w:rsidR="00F1485C" w:rsidRPr="003A4621">
        <w:rPr>
          <w:sz w:val="22"/>
        </w:rPr>
        <w:t>retention</w:t>
      </w:r>
      <w:r w:rsidR="00ED6EA3" w:rsidRPr="003A4621">
        <w:rPr>
          <w:sz w:val="22"/>
        </w:rPr>
        <w:t xml:space="preserve"> </w:t>
      </w:r>
      <w:r w:rsidR="00F1485C" w:rsidRPr="003A4621">
        <w:rPr>
          <w:sz w:val="22"/>
        </w:rPr>
        <w:t>rate</w:t>
      </w:r>
      <w:r w:rsidR="001E083F">
        <w:rPr>
          <w:sz w:val="22"/>
        </w:rPr>
        <w:t>s</w:t>
      </w:r>
      <w:r w:rsidR="007A7CE3">
        <w:rPr>
          <w:sz w:val="22"/>
        </w:rPr>
        <w:t xml:space="preserve"> as of the end of 2014.  The retention rate </w:t>
      </w:r>
      <w:r w:rsidR="003A4621" w:rsidRPr="003A4621">
        <w:rPr>
          <w:sz w:val="22"/>
        </w:rPr>
        <w:t xml:space="preserve">is the percentage of </w:t>
      </w:r>
      <w:r w:rsidR="007A7CE3">
        <w:rPr>
          <w:sz w:val="22"/>
        </w:rPr>
        <w:t xml:space="preserve">drug court </w:t>
      </w:r>
      <w:r w:rsidR="007A7CE3">
        <w:rPr>
          <w:sz w:val="22"/>
        </w:rPr>
        <w:lastRenderedPageBreak/>
        <w:t>participants who are</w:t>
      </w:r>
      <w:r w:rsidR="003A4621" w:rsidRPr="003A4621">
        <w:rPr>
          <w:sz w:val="22"/>
        </w:rPr>
        <w:t xml:space="preserve"> currently active or have graduated </w:t>
      </w:r>
      <w:r w:rsidR="006F5587">
        <w:rPr>
          <w:sz w:val="22"/>
        </w:rPr>
        <w:t>for a specified</w:t>
      </w:r>
      <w:r w:rsidR="003A4621" w:rsidRPr="003A4621">
        <w:rPr>
          <w:sz w:val="22"/>
        </w:rPr>
        <w:t xml:space="preserve"> cohort of participants</w:t>
      </w:r>
      <w:r w:rsidR="00610DDF">
        <w:rPr>
          <w:sz w:val="22"/>
        </w:rPr>
        <w:t xml:space="preserve"> entering the program</w:t>
      </w:r>
      <w:r w:rsidR="006F5587">
        <w:rPr>
          <w:sz w:val="22"/>
        </w:rPr>
        <w:t>, such as the cohort who entered programs in 2012</w:t>
      </w:r>
      <w:r w:rsidR="00610DDF">
        <w:rPr>
          <w:sz w:val="22"/>
        </w:rPr>
        <w:t xml:space="preserve">.  </w:t>
      </w:r>
      <w:r w:rsidR="006F5587">
        <w:rPr>
          <w:sz w:val="22"/>
        </w:rPr>
        <w:t xml:space="preserve">Retention </w:t>
      </w:r>
      <w:r w:rsidR="0056296C">
        <w:rPr>
          <w:sz w:val="22"/>
        </w:rPr>
        <w:t xml:space="preserve">is </w:t>
      </w:r>
      <w:r w:rsidR="001E0733">
        <w:rPr>
          <w:sz w:val="22"/>
        </w:rPr>
        <w:t xml:space="preserve">an </w:t>
      </w:r>
      <w:r w:rsidR="0056296C">
        <w:rPr>
          <w:sz w:val="22"/>
        </w:rPr>
        <w:t xml:space="preserve">indicator of </w:t>
      </w:r>
      <w:r w:rsidR="001E0733">
        <w:rPr>
          <w:sz w:val="22"/>
        </w:rPr>
        <w:t xml:space="preserve">how </w:t>
      </w:r>
      <w:r w:rsidR="006F5587">
        <w:rPr>
          <w:sz w:val="22"/>
        </w:rPr>
        <w:t>well</w:t>
      </w:r>
      <w:r w:rsidR="001E0733">
        <w:rPr>
          <w:sz w:val="22"/>
        </w:rPr>
        <w:t xml:space="preserve"> </w:t>
      </w:r>
      <w:r w:rsidR="0056296C">
        <w:rPr>
          <w:sz w:val="22"/>
        </w:rPr>
        <w:t>drug court program</w:t>
      </w:r>
      <w:r w:rsidR="006F5587">
        <w:rPr>
          <w:sz w:val="22"/>
        </w:rPr>
        <w:t>s</w:t>
      </w:r>
      <w:r w:rsidR="001E0733">
        <w:rPr>
          <w:sz w:val="22"/>
        </w:rPr>
        <w:t xml:space="preserve"> </w:t>
      </w:r>
      <w:r w:rsidR="006F5587">
        <w:rPr>
          <w:sz w:val="22"/>
        </w:rPr>
        <w:t>e</w:t>
      </w:r>
      <w:r w:rsidR="001E0733">
        <w:rPr>
          <w:sz w:val="22"/>
        </w:rPr>
        <w:t>ngage participants</w:t>
      </w:r>
      <w:r w:rsidR="00A77E4A">
        <w:rPr>
          <w:sz w:val="22"/>
        </w:rPr>
        <w:t xml:space="preserve"> </w:t>
      </w:r>
      <w:r w:rsidR="008D2804">
        <w:rPr>
          <w:sz w:val="22"/>
        </w:rPr>
        <w:t xml:space="preserve">and sustain their participation, </w:t>
      </w:r>
      <w:r w:rsidR="00A77E4A">
        <w:rPr>
          <w:sz w:val="22"/>
        </w:rPr>
        <w:t>and “is an important predictor of positive long-term outcomes, such as reduced recidivism and drug use</w:t>
      </w:r>
      <w:r w:rsidR="0056296C">
        <w:rPr>
          <w:sz w:val="22"/>
        </w:rPr>
        <w:t>.</w:t>
      </w:r>
      <w:r w:rsidR="00A77E4A">
        <w:rPr>
          <w:sz w:val="22"/>
        </w:rPr>
        <w:t>”</w:t>
      </w:r>
      <w:r w:rsidR="00796B20">
        <w:rPr>
          <w:rStyle w:val="FootnoteReference"/>
          <w:sz w:val="22"/>
        </w:rPr>
        <w:footnoteReference w:id="6"/>
      </w:r>
      <w:r w:rsidR="006C3CA7">
        <w:rPr>
          <w:sz w:val="22"/>
        </w:rPr>
        <w:t xml:space="preserve">   Retention rates are affected by many variables including admissions criteria and policies, the treatment and substance abuse testing programs employed, the effectiveness of the drug court’s process, and the composition of the drug court team.</w:t>
      </w:r>
    </w:p>
    <w:p w14:paraId="386DD477" w14:textId="77777777" w:rsidR="00F46330" w:rsidRDefault="00F46330" w:rsidP="00226F70">
      <w:pPr>
        <w:jc w:val="both"/>
        <w:rPr>
          <w:sz w:val="22"/>
        </w:rPr>
      </w:pPr>
    </w:p>
    <w:p w14:paraId="687CA7FA" w14:textId="77777777" w:rsidR="00A271B4" w:rsidRDefault="00A271B4" w:rsidP="00226F70">
      <w:pPr>
        <w:jc w:val="both"/>
        <w:rPr>
          <w:sz w:val="22"/>
        </w:rPr>
      </w:pPr>
      <w:r>
        <w:rPr>
          <w:sz w:val="22"/>
        </w:rPr>
        <w:t xml:space="preserve">We </w:t>
      </w:r>
      <w:r w:rsidR="006F5587">
        <w:rPr>
          <w:sz w:val="22"/>
        </w:rPr>
        <w:t xml:space="preserve">calculated </w:t>
      </w:r>
      <w:r>
        <w:rPr>
          <w:sz w:val="22"/>
        </w:rPr>
        <w:t xml:space="preserve">6 and 18 month retention rates for those admitted in 2012 </w:t>
      </w:r>
      <w:r w:rsidR="009B6166">
        <w:rPr>
          <w:sz w:val="22"/>
        </w:rPr>
        <w:t xml:space="preserve">in the 23 Washington courts.  These rates varied widely.  </w:t>
      </w:r>
      <w:r w:rsidR="00BA3077">
        <w:rPr>
          <w:sz w:val="22"/>
        </w:rPr>
        <w:t xml:space="preserve">For the retention calculations in this report, anyone who had an active bench warrant at the end of the </w:t>
      </w:r>
      <w:r w:rsidR="002640B4">
        <w:rPr>
          <w:sz w:val="22"/>
        </w:rPr>
        <w:t xml:space="preserve">reporting </w:t>
      </w:r>
      <w:r w:rsidR="00BA3077">
        <w:rPr>
          <w:sz w:val="22"/>
        </w:rPr>
        <w:t>interval is included in the “Active” category.</w:t>
      </w:r>
      <w:r w:rsidR="00BA3077">
        <w:rPr>
          <w:rStyle w:val="FootnoteReference"/>
          <w:sz w:val="22"/>
        </w:rPr>
        <w:footnoteReference w:id="7"/>
      </w:r>
      <w:r w:rsidR="00BA3077">
        <w:rPr>
          <w:sz w:val="22"/>
        </w:rPr>
        <w:t xml:space="preserve">  </w:t>
      </w:r>
    </w:p>
    <w:p w14:paraId="11451E5B" w14:textId="77777777" w:rsidR="00CD025F" w:rsidRDefault="00CD025F" w:rsidP="00226F70">
      <w:pPr>
        <w:jc w:val="both"/>
        <w:rPr>
          <w:sz w:val="22"/>
        </w:rPr>
      </w:pPr>
    </w:p>
    <w:p w14:paraId="23AA3831" w14:textId="77777777" w:rsidR="002A6B00" w:rsidRDefault="00BA3077" w:rsidP="00226F70">
      <w:pPr>
        <w:jc w:val="both"/>
        <w:rPr>
          <w:sz w:val="22"/>
        </w:rPr>
      </w:pPr>
      <w:r>
        <w:rPr>
          <w:noProof/>
        </w:rPr>
        <w:drawing>
          <wp:inline distT="0" distB="0" distL="0" distR="0" wp14:anchorId="3EBB1831" wp14:editId="0DB06BD3">
            <wp:extent cx="5943600" cy="4017524"/>
            <wp:effectExtent l="0" t="0" r="0" b="25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3A6CF1" w14:textId="77777777" w:rsidR="00F46330" w:rsidRDefault="00F46330" w:rsidP="00C8672C">
      <w:pPr>
        <w:jc w:val="both"/>
        <w:rPr>
          <w:sz w:val="22"/>
        </w:rPr>
      </w:pPr>
    </w:p>
    <w:p w14:paraId="60723BC8" w14:textId="77777777" w:rsidR="00A271B4" w:rsidRDefault="002640B4" w:rsidP="00C8672C">
      <w:pPr>
        <w:jc w:val="both"/>
        <w:rPr>
          <w:sz w:val="22"/>
        </w:rPr>
      </w:pPr>
      <w:r>
        <w:rPr>
          <w:sz w:val="22"/>
        </w:rPr>
        <w:t>We also calculated retention rates for those admitted in each of the 23 courts.</w:t>
      </w:r>
    </w:p>
    <w:p w14:paraId="196C4685" w14:textId="77777777" w:rsidR="00A271B4" w:rsidRDefault="00FA4405" w:rsidP="00743631">
      <w:pPr>
        <w:jc w:val="center"/>
        <w:rPr>
          <w:sz w:val="22"/>
        </w:rPr>
      </w:pPr>
      <w:r>
        <w:rPr>
          <w:noProof/>
        </w:rPr>
        <w:lastRenderedPageBreak/>
        <w:drawing>
          <wp:inline distT="0" distB="0" distL="0" distR="0" wp14:anchorId="38F1FAAD" wp14:editId="01D14CF7">
            <wp:extent cx="6353175" cy="4270375"/>
            <wp:effectExtent l="0" t="0" r="9525"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DA0E24" w14:textId="77777777" w:rsidR="00B43792" w:rsidRPr="0064181E" w:rsidRDefault="00B43792" w:rsidP="0064181E">
      <w:pPr>
        <w:ind w:left="1440"/>
        <w:jc w:val="both"/>
        <w:rPr>
          <w:sz w:val="20"/>
          <w:szCs w:val="20"/>
        </w:rPr>
      </w:pPr>
      <w:r w:rsidRPr="0064181E">
        <w:rPr>
          <w:sz w:val="22"/>
        </w:rPr>
        <w:tab/>
      </w:r>
      <w:r w:rsidRPr="0064181E">
        <w:rPr>
          <w:sz w:val="20"/>
          <w:szCs w:val="20"/>
        </w:rPr>
        <w:t>* Courts with fewer than 10 admissions in 2012</w:t>
      </w:r>
    </w:p>
    <w:p w14:paraId="6D5D7343" w14:textId="77777777" w:rsidR="00A95B37" w:rsidRDefault="00A95B37">
      <w:pPr>
        <w:rPr>
          <w:sz w:val="22"/>
        </w:rPr>
      </w:pPr>
    </w:p>
    <w:p w14:paraId="351BB8AB" w14:textId="77777777" w:rsidR="0064181E" w:rsidRDefault="0064181E">
      <w:pPr>
        <w:jc w:val="both"/>
        <w:rPr>
          <w:b/>
          <w:sz w:val="22"/>
        </w:rPr>
      </w:pPr>
    </w:p>
    <w:p w14:paraId="03883E2F" w14:textId="352EE189" w:rsidR="008B62A1" w:rsidRDefault="0064181E">
      <w:pPr>
        <w:jc w:val="both"/>
        <w:rPr>
          <w:b/>
          <w:sz w:val="22"/>
        </w:rPr>
      </w:pPr>
      <w:r>
        <w:rPr>
          <w:b/>
          <w:sz w:val="22"/>
        </w:rPr>
        <w:t>Drug Court Admissions and Superior Court Case Filings:</w:t>
      </w:r>
      <w:r>
        <w:rPr>
          <w:sz w:val="22"/>
        </w:rPr>
        <w:t xml:space="preserve">  Because the vast majority of drug court participants have been charged with substance abuse related offenses, comparing admissions to the number of defendants charge</w:t>
      </w:r>
      <w:r w:rsidR="00F50555">
        <w:rPr>
          <w:sz w:val="22"/>
        </w:rPr>
        <w:t>d</w:t>
      </w:r>
      <w:r>
        <w:rPr>
          <w:sz w:val="22"/>
        </w:rPr>
        <w:t xml:space="preserve"> during the year with such offenses provides some indication of how well drug courts are meeting the need.  Th</w:t>
      </w:r>
      <w:r w:rsidR="008B62A1">
        <w:rPr>
          <w:sz w:val="22"/>
        </w:rPr>
        <w:t>is table shows the results for the three year period:</w:t>
      </w:r>
      <w:r>
        <w:rPr>
          <w:b/>
          <w:sz w:val="22"/>
        </w:rPr>
        <w:tab/>
      </w:r>
    </w:p>
    <w:p w14:paraId="2CF654A9" w14:textId="77777777" w:rsidR="00C51BE7" w:rsidRDefault="00C51BE7">
      <w:pPr>
        <w:jc w:val="both"/>
        <w:rPr>
          <w:b/>
          <w:sz w:val="22"/>
        </w:rPr>
      </w:pPr>
    </w:p>
    <w:tbl>
      <w:tblPr>
        <w:tblW w:w="8092" w:type="dxa"/>
        <w:tblInd w:w="623" w:type="dxa"/>
        <w:tblLook w:val="04A0" w:firstRow="1" w:lastRow="0" w:firstColumn="1" w:lastColumn="0" w:noHBand="0" w:noVBand="1"/>
      </w:tblPr>
      <w:tblGrid>
        <w:gridCol w:w="5125"/>
        <w:gridCol w:w="767"/>
        <w:gridCol w:w="1100"/>
        <w:gridCol w:w="1100"/>
      </w:tblGrid>
      <w:tr w:rsidR="008B62A1" w:rsidRPr="008B62A1" w14:paraId="407F7E72" w14:textId="77777777" w:rsidTr="00C51BE7">
        <w:trPr>
          <w:trHeight w:val="20"/>
        </w:trPr>
        <w:tc>
          <w:tcPr>
            <w:tcW w:w="5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3E2F" w14:textId="77777777" w:rsidR="008B62A1" w:rsidRPr="008B62A1" w:rsidRDefault="008B62A1" w:rsidP="008B62A1">
            <w:pPr>
              <w:rPr>
                <w:rFonts w:eastAsia="Times New Roman"/>
                <w:color w:val="000000"/>
                <w:sz w:val="22"/>
              </w:rPr>
            </w:pP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7C4C51E2" w14:textId="77777777" w:rsidR="008B62A1" w:rsidRPr="008B62A1" w:rsidRDefault="008B62A1" w:rsidP="00C51BE7">
            <w:pPr>
              <w:jc w:val="center"/>
              <w:rPr>
                <w:rFonts w:eastAsia="Times New Roman"/>
                <w:color w:val="000000"/>
                <w:sz w:val="22"/>
              </w:rPr>
            </w:pPr>
            <w:r w:rsidRPr="008B62A1">
              <w:rPr>
                <w:rFonts w:eastAsia="Times New Roman"/>
                <w:color w:val="000000"/>
                <w:sz w:val="22"/>
              </w:rPr>
              <w:t>2012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6EE4FE1" w14:textId="77777777" w:rsidR="008B62A1" w:rsidRPr="008B62A1" w:rsidRDefault="008B62A1" w:rsidP="00C51BE7">
            <w:pPr>
              <w:jc w:val="center"/>
              <w:rPr>
                <w:rFonts w:eastAsia="Times New Roman"/>
                <w:color w:val="000000"/>
                <w:sz w:val="22"/>
              </w:rPr>
            </w:pPr>
            <w:r w:rsidRPr="008B62A1">
              <w:rPr>
                <w:rFonts w:eastAsia="Times New Roman"/>
                <w:color w:val="000000"/>
                <w:sz w:val="22"/>
              </w:rPr>
              <w:t>2013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F7B191E" w14:textId="77777777" w:rsidR="008B62A1" w:rsidRPr="008B62A1" w:rsidRDefault="008B62A1" w:rsidP="00C51BE7">
            <w:pPr>
              <w:jc w:val="center"/>
              <w:rPr>
                <w:rFonts w:eastAsia="Times New Roman"/>
                <w:color w:val="000000"/>
                <w:sz w:val="22"/>
              </w:rPr>
            </w:pPr>
            <w:r w:rsidRPr="008B62A1">
              <w:rPr>
                <w:rFonts w:eastAsia="Times New Roman"/>
                <w:color w:val="000000"/>
                <w:sz w:val="22"/>
              </w:rPr>
              <w:t>2014</w:t>
            </w:r>
          </w:p>
        </w:tc>
      </w:tr>
      <w:tr w:rsidR="008B62A1" w:rsidRPr="008B62A1" w14:paraId="4C75A11D" w14:textId="77777777" w:rsidTr="00C51BE7">
        <w:trPr>
          <w:trHeight w:val="431"/>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7622C07D" w14:textId="77777777" w:rsidR="008B62A1" w:rsidRPr="008B62A1" w:rsidRDefault="008B62A1" w:rsidP="006C08A2">
            <w:pPr>
              <w:rPr>
                <w:rFonts w:eastAsia="Times New Roman"/>
                <w:color w:val="000000"/>
                <w:sz w:val="22"/>
              </w:rPr>
            </w:pPr>
            <w:r w:rsidRPr="008B62A1">
              <w:rPr>
                <w:rFonts w:eastAsia="Times New Roman"/>
                <w:color w:val="000000"/>
                <w:sz w:val="22"/>
              </w:rPr>
              <w:t>Participants starting drug court</w:t>
            </w:r>
          </w:p>
        </w:tc>
        <w:tc>
          <w:tcPr>
            <w:tcW w:w="767" w:type="dxa"/>
            <w:tcBorders>
              <w:top w:val="nil"/>
              <w:left w:val="nil"/>
              <w:bottom w:val="single" w:sz="4" w:space="0" w:color="auto"/>
              <w:right w:val="single" w:sz="4" w:space="0" w:color="auto"/>
            </w:tcBorders>
            <w:shd w:val="clear" w:color="auto" w:fill="auto"/>
            <w:noWrap/>
            <w:vAlign w:val="center"/>
            <w:hideMark/>
          </w:tcPr>
          <w:p w14:paraId="2E3F7CE3" w14:textId="372B0C70" w:rsidR="008B62A1" w:rsidRPr="008B62A1" w:rsidRDefault="008B62A1" w:rsidP="00C51BE7">
            <w:pPr>
              <w:jc w:val="right"/>
              <w:rPr>
                <w:rFonts w:eastAsia="Times New Roman"/>
                <w:color w:val="000000"/>
                <w:sz w:val="22"/>
              </w:rPr>
            </w:pPr>
            <w:r w:rsidRPr="008B62A1">
              <w:rPr>
                <w:rFonts w:eastAsia="Times New Roman"/>
                <w:color w:val="000000"/>
                <w:sz w:val="22"/>
              </w:rPr>
              <w:t>1,498</w:t>
            </w:r>
          </w:p>
        </w:tc>
        <w:tc>
          <w:tcPr>
            <w:tcW w:w="1100" w:type="dxa"/>
            <w:tcBorders>
              <w:top w:val="nil"/>
              <w:left w:val="nil"/>
              <w:bottom w:val="single" w:sz="4" w:space="0" w:color="auto"/>
              <w:right w:val="single" w:sz="4" w:space="0" w:color="auto"/>
            </w:tcBorders>
            <w:shd w:val="clear" w:color="auto" w:fill="auto"/>
            <w:noWrap/>
            <w:vAlign w:val="center"/>
            <w:hideMark/>
          </w:tcPr>
          <w:p w14:paraId="54A6E582" w14:textId="77777777" w:rsidR="008B62A1" w:rsidRPr="008B62A1" w:rsidRDefault="008B62A1" w:rsidP="00C51BE7">
            <w:pPr>
              <w:jc w:val="right"/>
              <w:rPr>
                <w:rFonts w:eastAsia="Times New Roman"/>
                <w:color w:val="000000"/>
                <w:sz w:val="22"/>
              </w:rPr>
            </w:pPr>
            <w:r w:rsidRPr="008B62A1">
              <w:rPr>
                <w:rFonts w:eastAsia="Times New Roman"/>
                <w:color w:val="000000"/>
                <w:sz w:val="22"/>
              </w:rPr>
              <w:t xml:space="preserve">     1,384 </w:t>
            </w:r>
          </w:p>
        </w:tc>
        <w:tc>
          <w:tcPr>
            <w:tcW w:w="1100" w:type="dxa"/>
            <w:tcBorders>
              <w:top w:val="nil"/>
              <w:left w:val="nil"/>
              <w:bottom w:val="single" w:sz="4" w:space="0" w:color="auto"/>
              <w:right w:val="single" w:sz="4" w:space="0" w:color="auto"/>
            </w:tcBorders>
            <w:shd w:val="clear" w:color="auto" w:fill="auto"/>
            <w:noWrap/>
            <w:vAlign w:val="center"/>
            <w:hideMark/>
          </w:tcPr>
          <w:p w14:paraId="21BF8C49" w14:textId="77777777" w:rsidR="008B62A1" w:rsidRPr="008B62A1" w:rsidRDefault="008B62A1" w:rsidP="00C51BE7">
            <w:pPr>
              <w:jc w:val="right"/>
              <w:rPr>
                <w:rFonts w:eastAsia="Times New Roman"/>
                <w:color w:val="000000"/>
                <w:sz w:val="22"/>
              </w:rPr>
            </w:pPr>
            <w:r w:rsidRPr="008B62A1">
              <w:rPr>
                <w:rFonts w:eastAsia="Times New Roman"/>
                <w:color w:val="000000"/>
                <w:sz w:val="22"/>
              </w:rPr>
              <w:t xml:space="preserve">   1,544 </w:t>
            </w:r>
          </w:p>
        </w:tc>
      </w:tr>
      <w:tr w:rsidR="008B62A1" w:rsidRPr="008B62A1" w14:paraId="2F09FC78" w14:textId="77777777" w:rsidTr="00C51BE7">
        <w:trPr>
          <w:trHeight w:val="368"/>
        </w:trPr>
        <w:tc>
          <w:tcPr>
            <w:tcW w:w="5125" w:type="dxa"/>
            <w:tcBorders>
              <w:top w:val="nil"/>
              <w:left w:val="single" w:sz="4" w:space="0" w:color="auto"/>
              <w:bottom w:val="single" w:sz="4" w:space="0" w:color="auto"/>
              <w:right w:val="single" w:sz="4" w:space="0" w:color="auto"/>
            </w:tcBorders>
            <w:shd w:val="clear" w:color="auto" w:fill="auto"/>
            <w:noWrap/>
            <w:vAlign w:val="center"/>
            <w:hideMark/>
          </w:tcPr>
          <w:p w14:paraId="57B2B225" w14:textId="77777777" w:rsidR="008B62A1" w:rsidRPr="008B62A1" w:rsidRDefault="008B62A1" w:rsidP="006C08A2">
            <w:pPr>
              <w:rPr>
                <w:rFonts w:eastAsia="Times New Roman"/>
                <w:color w:val="000000"/>
                <w:sz w:val="22"/>
              </w:rPr>
            </w:pPr>
            <w:r w:rsidRPr="008B62A1">
              <w:rPr>
                <w:rFonts w:eastAsia="Times New Roman"/>
                <w:color w:val="000000"/>
                <w:sz w:val="22"/>
              </w:rPr>
              <w:t>Defendants - cases filed with drug charges</w:t>
            </w:r>
          </w:p>
        </w:tc>
        <w:tc>
          <w:tcPr>
            <w:tcW w:w="767" w:type="dxa"/>
            <w:tcBorders>
              <w:top w:val="nil"/>
              <w:left w:val="nil"/>
              <w:bottom w:val="single" w:sz="4" w:space="0" w:color="auto"/>
              <w:right w:val="single" w:sz="4" w:space="0" w:color="auto"/>
            </w:tcBorders>
            <w:shd w:val="clear" w:color="auto" w:fill="auto"/>
            <w:noWrap/>
            <w:vAlign w:val="center"/>
            <w:hideMark/>
          </w:tcPr>
          <w:p w14:paraId="7D6922C2" w14:textId="0988F5D7" w:rsidR="008B62A1" w:rsidRPr="008B62A1" w:rsidRDefault="008B62A1" w:rsidP="00C51BE7">
            <w:pPr>
              <w:jc w:val="right"/>
              <w:rPr>
                <w:rFonts w:eastAsia="Times New Roman"/>
                <w:color w:val="000000"/>
                <w:sz w:val="22"/>
              </w:rPr>
            </w:pPr>
            <w:r w:rsidRPr="008B62A1">
              <w:rPr>
                <w:rFonts w:eastAsia="Times New Roman"/>
                <w:color w:val="000000"/>
                <w:sz w:val="22"/>
              </w:rPr>
              <w:t xml:space="preserve">9,526 </w:t>
            </w:r>
          </w:p>
        </w:tc>
        <w:tc>
          <w:tcPr>
            <w:tcW w:w="1100" w:type="dxa"/>
            <w:tcBorders>
              <w:top w:val="nil"/>
              <w:left w:val="nil"/>
              <w:bottom w:val="single" w:sz="4" w:space="0" w:color="auto"/>
              <w:right w:val="single" w:sz="4" w:space="0" w:color="auto"/>
            </w:tcBorders>
            <w:shd w:val="clear" w:color="auto" w:fill="auto"/>
            <w:noWrap/>
            <w:vAlign w:val="center"/>
            <w:hideMark/>
          </w:tcPr>
          <w:p w14:paraId="45676D34" w14:textId="081F148F" w:rsidR="008B62A1" w:rsidRPr="008B62A1" w:rsidRDefault="00C51BE7" w:rsidP="00C51BE7">
            <w:pPr>
              <w:jc w:val="right"/>
              <w:rPr>
                <w:rFonts w:eastAsia="Times New Roman"/>
                <w:color w:val="000000"/>
                <w:sz w:val="22"/>
              </w:rPr>
            </w:pPr>
            <w:r>
              <w:rPr>
                <w:rFonts w:eastAsia="Times New Roman"/>
                <w:color w:val="000000"/>
                <w:sz w:val="22"/>
              </w:rPr>
              <w:t xml:space="preserve">     </w:t>
            </w:r>
            <w:r w:rsidR="008B62A1" w:rsidRPr="008B62A1">
              <w:rPr>
                <w:rFonts w:eastAsia="Times New Roman"/>
                <w:color w:val="000000"/>
                <w:sz w:val="22"/>
              </w:rPr>
              <w:t xml:space="preserve">9,449 </w:t>
            </w:r>
          </w:p>
        </w:tc>
        <w:tc>
          <w:tcPr>
            <w:tcW w:w="1100" w:type="dxa"/>
            <w:tcBorders>
              <w:top w:val="nil"/>
              <w:left w:val="nil"/>
              <w:bottom w:val="single" w:sz="4" w:space="0" w:color="auto"/>
              <w:right w:val="single" w:sz="4" w:space="0" w:color="auto"/>
            </w:tcBorders>
            <w:shd w:val="clear" w:color="auto" w:fill="auto"/>
            <w:noWrap/>
            <w:vAlign w:val="center"/>
            <w:hideMark/>
          </w:tcPr>
          <w:p w14:paraId="2BD54021" w14:textId="4312D51C" w:rsidR="008B62A1" w:rsidRPr="008B62A1" w:rsidRDefault="00C51BE7" w:rsidP="00C51BE7">
            <w:pPr>
              <w:jc w:val="right"/>
              <w:rPr>
                <w:rFonts w:eastAsia="Times New Roman"/>
                <w:color w:val="000000"/>
                <w:sz w:val="22"/>
              </w:rPr>
            </w:pPr>
            <w:r>
              <w:rPr>
                <w:rFonts w:eastAsia="Times New Roman"/>
                <w:color w:val="000000"/>
                <w:sz w:val="22"/>
              </w:rPr>
              <w:t xml:space="preserve">     </w:t>
            </w:r>
            <w:r w:rsidR="008B62A1" w:rsidRPr="008B62A1">
              <w:rPr>
                <w:rFonts w:eastAsia="Times New Roman"/>
                <w:color w:val="000000"/>
                <w:sz w:val="22"/>
              </w:rPr>
              <w:t xml:space="preserve">9,374 </w:t>
            </w:r>
          </w:p>
        </w:tc>
      </w:tr>
      <w:tr w:rsidR="008B62A1" w:rsidRPr="008B62A1" w14:paraId="2E8D0474" w14:textId="77777777" w:rsidTr="00C51BE7">
        <w:trPr>
          <w:trHeight w:val="2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2D275033" w14:textId="77777777" w:rsidR="008B62A1" w:rsidRPr="008B62A1" w:rsidRDefault="008B62A1" w:rsidP="008B62A1">
            <w:pPr>
              <w:rPr>
                <w:rFonts w:eastAsia="Times New Roman"/>
                <w:color w:val="000000"/>
                <w:sz w:val="22"/>
              </w:rPr>
            </w:pPr>
            <w:r w:rsidRPr="008B62A1">
              <w:rPr>
                <w:rFonts w:eastAsia="Times New Roman"/>
                <w:color w:val="000000"/>
                <w:sz w:val="22"/>
              </w:rPr>
              <w:t> </w:t>
            </w:r>
          </w:p>
        </w:tc>
        <w:tc>
          <w:tcPr>
            <w:tcW w:w="767" w:type="dxa"/>
            <w:tcBorders>
              <w:top w:val="nil"/>
              <w:left w:val="nil"/>
              <w:bottom w:val="single" w:sz="4" w:space="0" w:color="auto"/>
              <w:right w:val="single" w:sz="4" w:space="0" w:color="auto"/>
            </w:tcBorders>
            <w:shd w:val="clear" w:color="auto" w:fill="auto"/>
            <w:noWrap/>
            <w:vAlign w:val="center"/>
            <w:hideMark/>
          </w:tcPr>
          <w:p w14:paraId="583C8EBD" w14:textId="77777777" w:rsidR="008B62A1" w:rsidRPr="008B62A1" w:rsidRDefault="008B62A1" w:rsidP="00C51BE7">
            <w:pPr>
              <w:jc w:val="right"/>
              <w:rPr>
                <w:rFonts w:eastAsia="Times New Roman"/>
                <w:color w:val="000000"/>
                <w:sz w:val="22"/>
              </w:rPr>
            </w:pPr>
            <w:r w:rsidRPr="008B62A1">
              <w:rPr>
                <w:rFonts w:eastAsia="Times New Roman"/>
                <w:color w:val="000000"/>
                <w:sz w:val="22"/>
              </w:rPr>
              <w:t>16%</w:t>
            </w:r>
          </w:p>
        </w:tc>
        <w:tc>
          <w:tcPr>
            <w:tcW w:w="1100" w:type="dxa"/>
            <w:tcBorders>
              <w:top w:val="nil"/>
              <w:left w:val="nil"/>
              <w:bottom w:val="single" w:sz="4" w:space="0" w:color="auto"/>
              <w:right w:val="single" w:sz="4" w:space="0" w:color="auto"/>
            </w:tcBorders>
            <w:shd w:val="clear" w:color="auto" w:fill="auto"/>
            <w:noWrap/>
            <w:vAlign w:val="center"/>
            <w:hideMark/>
          </w:tcPr>
          <w:p w14:paraId="263CDD2D" w14:textId="77777777" w:rsidR="008B62A1" w:rsidRPr="008B62A1" w:rsidRDefault="008B62A1" w:rsidP="00C51BE7">
            <w:pPr>
              <w:jc w:val="right"/>
              <w:rPr>
                <w:rFonts w:eastAsia="Times New Roman"/>
                <w:color w:val="000000"/>
                <w:sz w:val="22"/>
              </w:rPr>
            </w:pPr>
            <w:r w:rsidRPr="008B62A1">
              <w:rPr>
                <w:rFonts w:eastAsia="Times New Roman"/>
                <w:color w:val="000000"/>
                <w:sz w:val="22"/>
              </w:rPr>
              <w:t>15%</w:t>
            </w:r>
          </w:p>
        </w:tc>
        <w:tc>
          <w:tcPr>
            <w:tcW w:w="1100" w:type="dxa"/>
            <w:tcBorders>
              <w:top w:val="nil"/>
              <w:left w:val="nil"/>
              <w:bottom w:val="single" w:sz="4" w:space="0" w:color="auto"/>
              <w:right w:val="single" w:sz="4" w:space="0" w:color="auto"/>
            </w:tcBorders>
            <w:shd w:val="clear" w:color="auto" w:fill="auto"/>
            <w:noWrap/>
            <w:vAlign w:val="center"/>
            <w:hideMark/>
          </w:tcPr>
          <w:p w14:paraId="07FDCC23" w14:textId="77777777" w:rsidR="008B62A1" w:rsidRPr="008B62A1" w:rsidRDefault="008B62A1" w:rsidP="00C51BE7">
            <w:pPr>
              <w:jc w:val="right"/>
              <w:rPr>
                <w:rFonts w:eastAsia="Times New Roman"/>
                <w:color w:val="000000"/>
                <w:sz w:val="22"/>
              </w:rPr>
            </w:pPr>
            <w:r w:rsidRPr="008B62A1">
              <w:rPr>
                <w:rFonts w:eastAsia="Times New Roman"/>
                <w:color w:val="000000"/>
                <w:sz w:val="22"/>
              </w:rPr>
              <w:t>16%</w:t>
            </w:r>
          </w:p>
        </w:tc>
      </w:tr>
    </w:tbl>
    <w:p w14:paraId="011AAAB8" w14:textId="77777777" w:rsidR="00C51BE7" w:rsidRDefault="00C51BE7" w:rsidP="00746177">
      <w:pPr>
        <w:rPr>
          <w:sz w:val="22"/>
        </w:rPr>
      </w:pPr>
    </w:p>
    <w:p w14:paraId="72F09048" w14:textId="6B90D2CF" w:rsidR="008B62A1" w:rsidRPr="00746177" w:rsidRDefault="00743631" w:rsidP="00746177">
      <w:r>
        <w:rPr>
          <w:sz w:val="22"/>
        </w:rPr>
        <w:t>It should</w:t>
      </w:r>
      <w:r w:rsidR="008B62A1">
        <w:rPr>
          <w:sz w:val="22"/>
        </w:rPr>
        <w:t xml:space="preserve"> be noted that it is unknown how many of these</w:t>
      </w:r>
      <w:r w:rsidR="008B62A1" w:rsidRPr="008B62A1">
        <w:rPr>
          <w:sz w:val="22"/>
        </w:rPr>
        <w:t xml:space="preserve"> </w:t>
      </w:r>
      <w:r w:rsidR="008B62A1">
        <w:rPr>
          <w:sz w:val="22"/>
        </w:rPr>
        <w:t>defendants</w:t>
      </w:r>
      <w:r w:rsidR="008B62A1" w:rsidRPr="008B62A1">
        <w:rPr>
          <w:sz w:val="22"/>
        </w:rPr>
        <w:t xml:space="preserve"> were </w:t>
      </w:r>
      <w:r w:rsidR="008B62A1">
        <w:rPr>
          <w:sz w:val="22"/>
        </w:rPr>
        <w:t xml:space="preserve">not </w:t>
      </w:r>
      <w:r w:rsidR="008B62A1" w:rsidRPr="008B62A1">
        <w:rPr>
          <w:sz w:val="22"/>
        </w:rPr>
        <w:t>statutorily eligible for drug court</w:t>
      </w:r>
      <w:r>
        <w:rPr>
          <w:sz w:val="22"/>
        </w:rPr>
        <w:t xml:space="preserve"> or</w:t>
      </w:r>
      <w:r w:rsidR="008B62A1">
        <w:rPr>
          <w:sz w:val="22"/>
        </w:rPr>
        <w:t xml:space="preserve"> would not have been admitted because of othe</w:t>
      </w:r>
      <w:r w:rsidR="00F50555">
        <w:rPr>
          <w:sz w:val="22"/>
        </w:rPr>
        <w:t>r factors such as determinations</w:t>
      </w:r>
      <w:r w:rsidR="008B62A1">
        <w:rPr>
          <w:sz w:val="22"/>
        </w:rPr>
        <w:t xml:space="preserve"> that they were not drug dependent or substance abusers</w:t>
      </w:r>
      <w:r w:rsidR="008B62A1" w:rsidRPr="008B62A1">
        <w:rPr>
          <w:sz w:val="22"/>
        </w:rPr>
        <w:t xml:space="preserve">.  </w:t>
      </w:r>
    </w:p>
    <w:p w14:paraId="11DC1890" w14:textId="77777777" w:rsidR="0064181E" w:rsidRPr="008B62A1" w:rsidRDefault="0064181E" w:rsidP="008B62A1">
      <w:pPr>
        <w:jc w:val="both"/>
        <w:rPr>
          <w:b/>
          <w:sz w:val="22"/>
        </w:rPr>
      </w:pPr>
    </w:p>
    <w:p w14:paraId="43A71046" w14:textId="77777777" w:rsidR="00A95B37" w:rsidRDefault="00D7518E">
      <w:pPr>
        <w:jc w:val="both"/>
        <w:rPr>
          <w:sz w:val="22"/>
        </w:rPr>
      </w:pPr>
      <w:r>
        <w:rPr>
          <w:b/>
          <w:sz w:val="22"/>
        </w:rPr>
        <w:t>Participants Admitted in 2014</w:t>
      </w:r>
      <w:r>
        <w:rPr>
          <w:sz w:val="22"/>
        </w:rPr>
        <w:t xml:space="preserve">: </w:t>
      </w:r>
      <w:r w:rsidR="00A95B37">
        <w:rPr>
          <w:sz w:val="22"/>
        </w:rPr>
        <w:t>Statewide</w:t>
      </w:r>
      <w:r w:rsidR="00A95B37" w:rsidRPr="003B746E">
        <w:rPr>
          <w:sz w:val="22"/>
        </w:rPr>
        <w:t xml:space="preserve">, </w:t>
      </w:r>
      <w:r w:rsidR="00A95B37">
        <w:rPr>
          <w:sz w:val="22"/>
        </w:rPr>
        <w:t>1,544</w:t>
      </w:r>
      <w:r w:rsidR="00A95B37" w:rsidRPr="003B746E">
        <w:rPr>
          <w:sz w:val="22"/>
        </w:rPr>
        <w:t xml:space="preserve"> participants started drug court in </w:t>
      </w:r>
      <w:r w:rsidR="00A95B37" w:rsidRPr="0088374C">
        <w:rPr>
          <w:b/>
          <w:sz w:val="22"/>
        </w:rPr>
        <w:t>201</w:t>
      </w:r>
      <w:r w:rsidR="00A95B37">
        <w:rPr>
          <w:b/>
          <w:sz w:val="22"/>
        </w:rPr>
        <w:t>4</w:t>
      </w:r>
      <w:r w:rsidR="00A95B37" w:rsidRPr="003B746E">
        <w:rPr>
          <w:sz w:val="22"/>
        </w:rPr>
        <w:t xml:space="preserve">. </w:t>
      </w:r>
      <w:r w:rsidR="00A95B37">
        <w:rPr>
          <w:sz w:val="22"/>
        </w:rPr>
        <w:t>T</w:t>
      </w:r>
      <w:r w:rsidR="00A95B37" w:rsidRPr="003A4621">
        <w:rPr>
          <w:sz w:val="22"/>
        </w:rPr>
        <w:t>he retention rate at the end of 2014 for the cohort of 201</w:t>
      </w:r>
      <w:r w:rsidR="00A95B37">
        <w:rPr>
          <w:sz w:val="22"/>
        </w:rPr>
        <w:t>4</w:t>
      </w:r>
      <w:r w:rsidR="00A95B37" w:rsidRPr="003A4621">
        <w:rPr>
          <w:sz w:val="22"/>
        </w:rPr>
        <w:t xml:space="preserve"> admits was </w:t>
      </w:r>
      <w:r w:rsidR="00A95B37">
        <w:rPr>
          <w:sz w:val="22"/>
        </w:rPr>
        <w:t>68</w:t>
      </w:r>
      <w:r w:rsidR="00A95B37" w:rsidRPr="003A4621">
        <w:rPr>
          <w:sz w:val="22"/>
        </w:rPr>
        <w:t>%</w:t>
      </w:r>
      <w:r w:rsidR="00A95B37">
        <w:rPr>
          <w:sz w:val="22"/>
        </w:rPr>
        <w:t>.</w:t>
      </w:r>
      <w:r w:rsidR="00A95B37" w:rsidRPr="00EF3BEA">
        <w:rPr>
          <w:sz w:val="22"/>
        </w:rPr>
        <w:t xml:space="preserve"> </w:t>
      </w:r>
      <w:r w:rsidR="00FA4405">
        <w:rPr>
          <w:sz w:val="22"/>
        </w:rPr>
        <w:t xml:space="preserve">The retention rate includes as active the </w:t>
      </w:r>
      <w:r w:rsidR="002640B4">
        <w:rPr>
          <w:sz w:val="22"/>
        </w:rPr>
        <w:t>12</w:t>
      </w:r>
      <w:r w:rsidR="00FA4405">
        <w:rPr>
          <w:sz w:val="22"/>
        </w:rPr>
        <w:t>.4% who had outstanding bench warrants at the end of 2014 in addition to those who graduated on or before December 31, 2014 and those active on that date.  It</w:t>
      </w:r>
      <w:r w:rsidR="00A95B37" w:rsidRPr="003B746E">
        <w:rPr>
          <w:sz w:val="22"/>
        </w:rPr>
        <w:t xml:space="preserve"> is too </w:t>
      </w:r>
      <w:r w:rsidR="00A95B37">
        <w:rPr>
          <w:sz w:val="22"/>
        </w:rPr>
        <w:t>soon</w:t>
      </w:r>
      <w:r w:rsidR="00A95B37" w:rsidRPr="003B746E">
        <w:rPr>
          <w:sz w:val="22"/>
        </w:rPr>
        <w:t xml:space="preserve"> to report </w:t>
      </w:r>
      <w:r w:rsidR="00A95B37">
        <w:rPr>
          <w:sz w:val="22"/>
        </w:rPr>
        <w:t xml:space="preserve">other </w:t>
      </w:r>
      <w:r w:rsidR="00A95B37" w:rsidRPr="003B746E">
        <w:rPr>
          <w:sz w:val="22"/>
        </w:rPr>
        <w:t xml:space="preserve">meaningful numbers on </w:t>
      </w:r>
      <w:r w:rsidR="00FA4405">
        <w:rPr>
          <w:sz w:val="22"/>
        </w:rPr>
        <w:t>those admitted in 2014</w:t>
      </w:r>
      <w:r w:rsidR="00A95B37" w:rsidRPr="003B746E">
        <w:rPr>
          <w:sz w:val="22"/>
        </w:rPr>
        <w:t>.</w:t>
      </w:r>
      <w:r w:rsidR="00A95B37">
        <w:rPr>
          <w:sz w:val="22"/>
        </w:rPr>
        <w:t xml:space="preserve">  </w:t>
      </w:r>
    </w:p>
    <w:p w14:paraId="7B281D9A" w14:textId="77777777" w:rsidR="00A95B37" w:rsidRDefault="00A95B37" w:rsidP="00A95B37">
      <w:pPr>
        <w:jc w:val="both"/>
        <w:rPr>
          <w:sz w:val="22"/>
        </w:rPr>
      </w:pPr>
    </w:p>
    <w:p w14:paraId="4D04846C" w14:textId="77777777" w:rsidR="00EF3BEA" w:rsidRDefault="004B218F" w:rsidP="0064181E">
      <w:pPr>
        <w:jc w:val="center"/>
        <w:rPr>
          <w:sz w:val="22"/>
        </w:rPr>
      </w:pPr>
      <w:r>
        <w:rPr>
          <w:sz w:val="22"/>
        </w:rPr>
        <w:t xml:space="preserve">Distribution of Participants Admitted in 2014 </w:t>
      </w:r>
      <w:r w:rsidR="00F83F3C">
        <w:rPr>
          <w:noProof/>
          <w:sz w:val="22"/>
        </w:rPr>
        <w:drawing>
          <wp:inline distT="0" distB="0" distL="0" distR="0" wp14:anchorId="1911220E" wp14:editId="415431BA">
            <wp:extent cx="5943600" cy="3926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ug Court_Final_Blue_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926205"/>
                    </a:xfrm>
                    <a:prstGeom prst="rect">
                      <a:avLst/>
                    </a:prstGeom>
                  </pic:spPr>
                </pic:pic>
              </a:graphicData>
            </a:graphic>
          </wp:inline>
        </w:drawing>
      </w:r>
    </w:p>
    <w:p w14:paraId="4158F73B" w14:textId="77777777" w:rsidR="00EF3BEA" w:rsidRPr="0064181E" w:rsidRDefault="00EF3BEA" w:rsidP="00EF3BEA">
      <w:pPr>
        <w:jc w:val="center"/>
        <w:rPr>
          <w:sz w:val="20"/>
          <w:szCs w:val="20"/>
        </w:rPr>
      </w:pPr>
      <w:r w:rsidRPr="0064181E">
        <w:rPr>
          <w:sz w:val="20"/>
          <w:szCs w:val="20"/>
        </w:rPr>
        <w:t>(</w:t>
      </w:r>
      <w:r w:rsidR="00A95B37" w:rsidRPr="0064181E">
        <w:rPr>
          <w:sz w:val="20"/>
          <w:szCs w:val="20"/>
        </w:rPr>
        <w:t>White</w:t>
      </w:r>
      <w:r w:rsidRPr="0064181E">
        <w:rPr>
          <w:sz w:val="20"/>
          <w:szCs w:val="20"/>
        </w:rPr>
        <w:t xml:space="preserve"> counties do not have adult drug courts.)</w:t>
      </w:r>
    </w:p>
    <w:p w14:paraId="0D115DAA" w14:textId="77777777" w:rsidR="00EF3BEA" w:rsidRPr="003B746E" w:rsidRDefault="00EF3BEA" w:rsidP="00C8672C">
      <w:pPr>
        <w:jc w:val="both"/>
        <w:rPr>
          <w:sz w:val="22"/>
        </w:rPr>
      </w:pPr>
    </w:p>
    <w:p w14:paraId="6E430451" w14:textId="77777777" w:rsidR="00CD025F" w:rsidRDefault="00CD025F" w:rsidP="00EF3BEA">
      <w:pPr>
        <w:jc w:val="both"/>
        <w:rPr>
          <w:b/>
          <w:sz w:val="22"/>
        </w:rPr>
      </w:pPr>
    </w:p>
    <w:p w14:paraId="1C099528" w14:textId="77777777" w:rsidR="00EF3BEA" w:rsidRDefault="00EF3BEA" w:rsidP="00EF3BEA">
      <w:pPr>
        <w:jc w:val="both"/>
        <w:rPr>
          <w:sz w:val="22"/>
        </w:rPr>
      </w:pPr>
      <w:r w:rsidRPr="00EF3BEA">
        <w:rPr>
          <w:b/>
          <w:sz w:val="22"/>
        </w:rPr>
        <w:t>Participants Admitted in 2013</w:t>
      </w:r>
      <w:r>
        <w:rPr>
          <w:sz w:val="22"/>
        </w:rPr>
        <w:t xml:space="preserve">: </w:t>
      </w:r>
      <w:r w:rsidRPr="003A4621">
        <w:rPr>
          <w:sz w:val="22"/>
        </w:rPr>
        <w:t xml:space="preserve">At the end of 2014 the status of the </w:t>
      </w:r>
      <w:r>
        <w:rPr>
          <w:sz w:val="22"/>
        </w:rPr>
        <w:t>1</w:t>
      </w:r>
      <w:r w:rsidR="0044195D">
        <w:rPr>
          <w:sz w:val="22"/>
        </w:rPr>
        <w:t>,</w:t>
      </w:r>
      <w:r>
        <w:rPr>
          <w:sz w:val="22"/>
        </w:rPr>
        <w:t>384</w:t>
      </w:r>
      <w:r w:rsidRPr="003A4621">
        <w:rPr>
          <w:sz w:val="22"/>
        </w:rPr>
        <w:t xml:space="preserve"> participants starting drug court in </w:t>
      </w:r>
      <w:r w:rsidRPr="003A4621">
        <w:rPr>
          <w:b/>
          <w:sz w:val="22"/>
        </w:rPr>
        <w:t>201</w:t>
      </w:r>
      <w:r>
        <w:rPr>
          <w:b/>
          <w:sz w:val="22"/>
        </w:rPr>
        <w:t>3</w:t>
      </w:r>
      <w:r w:rsidRPr="003A4621">
        <w:rPr>
          <w:sz w:val="22"/>
        </w:rPr>
        <w:t xml:space="preserve"> was:</w:t>
      </w:r>
    </w:p>
    <w:p w14:paraId="56252C83" w14:textId="77777777" w:rsidR="00743631" w:rsidRPr="003A4621" w:rsidRDefault="00743631" w:rsidP="00EF3BEA">
      <w:pPr>
        <w:jc w:val="both"/>
        <w:rPr>
          <w:sz w:val="22"/>
        </w:rPr>
      </w:pPr>
    </w:p>
    <w:tbl>
      <w:tblPr>
        <w:tblW w:w="8076" w:type="dxa"/>
        <w:tblInd w:w="625" w:type="dxa"/>
        <w:tblLook w:val="04A0" w:firstRow="1" w:lastRow="0" w:firstColumn="1" w:lastColumn="0" w:noHBand="0" w:noVBand="1"/>
      </w:tblPr>
      <w:tblGrid>
        <w:gridCol w:w="5760"/>
        <w:gridCol w:w="960"/>
        <w:gridCol w:w="1356"/>
      </w:tblGrid>
      <w:tr w:rsidR="00EF3BEA" w:rsidRPr="00486C0C" w14:paraId="68A7BD71" w14:textId="77777777" w:rsidTr="00171EB7">
        <w:trPr>
          <w:trHeight w:val="28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F194" w14:textId="77777777" w:rsidR="00EF3BEA" w:rsidRPr="00486C0C" w:rsidRDefault="00EF3BEA" w:rsidP="00CC7DDD">
            <w:pPr>
              <w:rPr>
                <w:rFonts w:eastAsia="Times New Roman"/>
                <w:color w:val="000000"/>
                <w:sz w:val="22"/>
              </w:rPr>
            </w:pPr>
            <w:r w:rsidRPr="00486C0C">
              <w:rPr>
                <w:rFonts w:eastAsia="Times New Roman"/>
                <w:color w:val="000000"/>
                <w:sz w:val="22"/>
              </w:rPr>
              <w:t>Participants Started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5F90A1" w14:textId="77777777" w:rsidR="00EF3BEA" w:rsidRPr="00486C0C" w:rsidRDefault="00EF3BEA" w:rsidP="00CC7DDD">
            <w:pPr>
              <w:jc w:val="right"/>
              <w:rPr>
                <w:rFonts w:eastAsia="Times New Roman"/>
                <w:color w:val="000000"/>
                <w:sz w:val="22"/>
              </w:rPr>
            </w:pPr>
            <w:r w:rsidRPr="00486C0C">
              <w:rPr>
                <w:rFonts w:eastAsia="Times New Roman"/>
                <w:color w:val="000000"/>
                <w:sz w:val="22"/>
              </w:rPr>
              <w:t>1</w:t>
            </w:r>
            <w:r w:rsidR="00B70784">
              <w:rPr>
                <w:rFonts w:eastAsia="Times New Roman"/>
                <w:color w:val="000000"/>
                <w:sz w:val="22"/>
              </w:rPr>
              <w:t>,</w:t>
            </w:r>
            <w:r w:rsidRPr="00486C0C">
              <w:rPr>
                <w:rFonts w:eastAsia="Times New Roman"/>
                <w:color w:val="000000"/>
                <w:sz w:val="22"/>
              </w:rPr>
              <w:t>384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63C76D5" w14:textId="77777777" w:rsidR="00EF3BEA" w:rsidRPr="00486C0C" w:rsidRDefault="00EF3BEA" w:rsidP="00CC7DDD">
            <w:pPr>
              <w:jc w:val="right"/>
              <w:rPr>
                <w:rFonts w:eastAsia="Times New Roman"/>
                <w:color w:val="000000"/>
                <w:sz w:val="22"/>
              </w:rPr>
            </w:pPr>
            <w:r w:rsidRPr="00486C0C">
              <w:rPr>
                <w:rFonts w:eastAsia="Times New Roman"/>
                <w:color w:val="000000"/>
                <w:sz w:val="22"/>
              </w:rPr>
              <w:t>100.0%</w:t>
            </w:r>
          </w:p>
        </w:tc>
      </w:tr>
      <w:tr w:rsidR="00EF3BEA" w:rsidRPr="00486C0C" w14:paraId="56C28A90"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061B7FC1" w14:textId="77777777" w:rsidR="00EF3BEA" w:rsidRPr="00486C0C" w:rsidRDefault="00EF3BEA" w:rsidP="00CC7DDD">
            <w:pPr>
              <w:rPr>
                <w:rFonts w:eastAsia="Times New Roman"/>
                <w:color w:val="000000"/>
                <w:sz w:val="22"/>
              </w:rPr>
            </w:pPr>
            <w:r w:rsidRPr="00486C0C">
              <w:rPr>
                <w:rFonts w:eastAsia="Times New Roman"/>
                <w:color w:val="000000"/>
                <w:sz w:val="22"/>
              </w:rPr>
              <w:t>Opted-Out</w:t>
            </w:r>
          </w:p>
        </w:tc>
        <w:tc>
          <w:tcPr>
            <w:tcW w:w="960" w:type="dxa"/>
            <w:tcBorders>
              <w:top w:val="nil"/>
              <w:left w:val="nil"/>
              <w:bottom w:val="single" w:sz="4" w:space="0" w:color="auto"/>
              <w:right w:val="single" w:sz="4" w:space="0" w:color="auto"/>
            </w:tcBorders>
            <w:shd w:val="clear" w:color="auto" w:fill="auto"/>
            <w:noWrap/>
            <w:vAlign w:val="bottom"/>
            <w:hideMark/>
          </w:tcPr>
          <w:p w14:paraId="6800D193" w14:textId="77777777" w:rsidR="00EF3BEA" w:rsidRPr="00486C0C" w:rsidRDefault="00EF3BEA" w:rsidP="00CC7DDD">
            <w:pPr>
              <w:jc w:val="right"/>
              <w:rPr>
                <w:rFonts w:eastAsia="Times New Roman"/>
                <w:color w:val="000000"/>
                <w:sz w:val="22"/>
              </w:rPr>
            </w:pPr>
            <w:r w:rsidRPr="00486C0C">
              <w:rPr>
                <w:rFonts w:eastAsia="Times New Roman"/>
                <w:color w:val="000000"/>
                <w:sz w:val="22"/>
              </w:rPr>
              <w:t>177</w:t>
            </w:r>
          </w:p>
        </w:tc>
        <w:tc>
          <w:tcPr>
            <w:tcW w:w="1356" w:type="dxa"/>
            <w:tcBorders>
              <w:top w:val="nil"/>
              <w:left w:val="nil"/>
              <w:bottom w:val="single" w:sz="4" w:space="0" w:color="auto"/>
              <w:right w:val="single" w:sz="4" w:space="0" w:color="auto"/>
            </w:tcBorders>
            <w:shd w:val="clear" w:color="auto" w:fill="auto"/>
            <w:noWrap/>
            <w:vAlign w:val="bottom"/>
            <w:hideMark/>
          </w:tcPr>
          <w:p w14:paraId="0274D2AB" w14:textId="77777777" w:rsidR="00EF3BEA" w:rsidRPr="00486C0C" w:rsidRDefault="00EF3BEA" w:rsidP="00CC7DDD">
            <w:pPr>
              <w:jc w:val="right"/>
              <w:rPr>
                <w:rFonts w:eastAsia="Times New Roman"/>
                <w:color w:val="000000"/>
                <w:sz w:val="22"/>
              </w:rPr>
            </w:pPr>
            <w:r w:rsidRPr="00486C0C">
              <w:rPr>
                <w:rFonts w:eastAsia="Times New Roman"/>
                <w:color w:val="000000"/>
                <w:sz w:val="22"/>
              </w:rPr>
              <w:t>12.8%</w:t>
            </w:r>
          </w:p>
        </w:tc>
      </w:tr>
      <w:tr w:rsidR="00EF3BEA" w:rsidRPr="00486C0C" w14:paraId="451AE2B4"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004AA91C" w14:textId="77777777" w:rsidR="00EF3BEA" w:rsidRPr="00486C0C" w:rsidRDefault="00EF3BEA" w:rsidP="00CC7DDD">
            <w:pPr>
              <w:rPr>
                <w:rFonts w:eastAsia="Times New Roman"/>
                <w:color w:val="000000"/>
                <w:sz w:val="22"/>
              </w:rPr>
            </w:pPr>
            <w:r w:rsidRPr="00486C0C">
              <w:rPr>
                <w:rFonts w:eastAsia="Times New Roman"/>
                <w:color w:val="000000"/>
                <w:sz w:val="22"/>
              </w:rPr>
              <w:t>Admission Denied</w:t>
            </w:r>
          </w:p>
        </w:tc>
        <w:tc>
          <w:tcPr>
            <w:tcW w:w="960" w:type="dxa"/>
            <w:tcBorders>
              <w:top w:val="nil"/>
              <w:left w:val="nil"/>
              <w:bottom w:val="single" w:sz="4" w:space="0" w:color="auto"/>
              <w:right w:val="single" w:sz="4" w:space="0" w:color="auto"/>
            </w:tcBorders>
            <w:shd w:val="clear" w:color="auto" w:fill="auto"/>
            <w:noWrap/>
            <w:vAlign w:val="bottom"/>
            <w:hideMark/>
          </w:tcPr>
          <w:p w14:paraId="4B4645C7" w14:textId="77777777" w:rsidR="00EF3BEA" w:rsidRPr="00486C0C" w:rsidRDefault="00EF3BEA" w:rsidP="00CC7DDD">
            <w:pPr>
              <w:jc w:val="right"/>
              <w:rPr>
                <w:rFonts w:eastAsia="Times New Roman"/>
                <w:color w:val="000000"/>
                <w:sz w:val="22"/>
              </w:rPr>
            </w:pPr>
            <w:r w:rsidRPr="00486C0C">
              <w:rPr>
                <w:rFonts w:eastAsia="Times New Roman"/>
                <w:color w:val="000000"/>
                <w:sz w:val="22"/>
              </w:rPr>
              <w:t>3</w:t>
            </w:r>
          </w:p>
        </w:tc>
        <w:tc>
          <w:tcPr>
            <w:tcW w:w="1356" w:type="dxa"/>
            <w:tcBorders>
              <w:top w:val="nil"/>
              <w:left w:val="nil"/>
              <w:bottom w:val="single" w:sz="4" w:space="0" w:color="auto"/>
              <w:right w:val="single" w:sz="4" w:space="0" w:color="auto"/>
            </w:tcBorders>
            <w:shd w:val="clear" w:color="auto" w:fill="auto"/>
            <w:noWrap/>
            <w:vAlign w:val="bottom"/>
            <w:hideMark/>
          </w:tcPr>
          <w:p w14:paraId="61EFBC62" w14:textId="77777777" w:rsidR="00EF3BEA" w:rsidRPr="00486C0C" w:rsidRDefault="00EF3BEA" w:rsidP="00CC7DDD">
            <w:pPr>
              <w:jc w:val="right"/>
              <w:rPr>
                <w:rFonts w:eastAsia="Times New Roman"/>
                <w:color w:val="000000"/>
                <w:sz w:val="22"/>
              </w:rPr>
            </w:pPr>
            <w:r w:rsidRPr="00486C0C">
              <w:rPr>
                <w:rFonts w:eastAsia="Times New Roman"/>
                <w:color w:val="000000"/>
                <w:sz w:val="22"/>
              </w:rPr>
              <w:t>0.2%</w:t>
            </w:r>
          </w:p>
        </w:tc>
      </w:tr>
      <w:tr w:rsidR="00EF3BEA" w:rsidRPr="00486C0C" w14:paraId="6AF1EF43"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3377EAD5" w14:textId="77777777" w:rsidR="00EF3BEA" w:rsidRPr="00486C0C" w:rsidRDefault="00EF3BEA" w:rsidP="00CC7DDD">
            <w:pPr>
              <w:rPr>
                <w:rFonts w:eastAsia="Times New Roman"/>
                <w:color w:val="000000"/>
                <w:sz w:val="22"/>
              </w:rPr>
            </w:pPr>
            <w:r w:rsidRPr="00486C0C">
              <w:rPr>
                <w:rFonts w:eastAsia="Times New Roman"/>
                <w:color w:val="000000"/>
                <w:sz w:val="22"/>
              </w:rPr>
              <w:t>Withdrew (after expiration of any opt-in or opt-out period)</w:t>
            </w:r>
          </w:p>
        </w:tc>
        <w:tc>
          <w:tcPr>
            <w:tcW w:w="960" w:type="dxa"/>
            <w:tcBorders>
              <w:top w:val="nil"/>
              <w:left w:val="nil"/>
              <w:bottom w:val="single" w:sz="4" w:space="0" w:color="auto"/>
              <w:right w:val="single" w:sz="4" w:space="0" w:color="auto"/>
            </w:tcBorders>
            <w:shd w:val="clear" w:color="auto" w:fill="auto"/>
            <w:noWrap/>
            <w:vAlign w:val="bottom"/>
            <w:hideMark/>
          </w:tcPr>
          <w:p w14:paraId="1A78C63F" w14:textId="77777777" w:rsidR="00EF3BEA" w:rsidRPr="00486C0C" w:rsidRDefault="00EF3BEA" w:rsidP="00CC7DDD">
            <w:pPr>
              <w:jc w:val="right"/>
              <w:rPr>
                <w:rFonts w:eastAsia="Times New Roman"/>
                <w:color w:val="000000"/>
                <w:sz w:val="22"/>
              </w:rPr>
            </w:pPr>
            <w:r w:rsidRPr="00486C0C">
              <w:rPr>
                <w:rFonts w:eastAsia="Times New Roman"/>
                <w:color w:val="000000"/>
                <w:sz w:val="22"/>
              </w:rPr>
              <w:t>31</w:t>
            </w:r>
          </w:p>
        </w:tc>
        <w:tc>
          <w:tcPr>
            <w:tcW w:w="1356" w:type="dxa"/>
            <w:tcBorders>
              <w:top w:val="nil"/>
              <w:left w:val="nil"/>
              <w:bottom w:val="single" w:sz="4" w:space="0" w:color="auto"/>
              <w:right w:val="single" w:sz="4" w:space="0" w:color="auto"/>
            </w:tcBorders>
            <w:shd w:val="clear" w:color="auto" w:fill="auto"/>
            <w:noWrap/>
            <w:vAlign w:val="bottom"/>
            <w:hideMark/>
          </w:tcPr>
          <w:p w14:paraId="265A22B3" w14:textId="77777777" w:rsidR="00EF3BEA" w:rsidRPr="00486C0C" w:rsidRDefault="00EF3BEA" w:rsidP="00CC7DDD">
            <w:pPr>
              <w:jc w:val="right"/>
              <w:rPr>
                <w:rFonts w:eastAsia="Times New Roman"/>
                <w:color w:val="000000"/>
                <w:sz w:val="22"/>
              </w:rPr>
            </w:pPr>
            <w:r w:rsidRPr="00486C0C">
              <w:rPr>
                <w:rFonts w:eastAsia="Times New Roman"/>
                <w:color w:val="000000"/>
                <w:sz w:val="22"/>
              </w:rPr>
              <w:t>2.2%</w:t>
            </w:r>
          </w:p>
        </w:tc>
      </w:tr>
      <w:tr w:rsidR="00EF3BEA" w:rsidRPr="00486C0C" w14:paraId="31CCA499"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5E74CD0E" w14:textId="77777777" w:rsidR="00EF3BEA" w:rsidRPr="00486C0C" w:rsidRDefault="00EF3BEA" w:rsidP="00CC7DDD">
            <w:pPr>
              <w:rPr>
                <w:rFonts w:eastAsia="Times New Roman"/>
                <w:color w:val="000000"/>
                <w:sz w:val="22"/>
              </w:rPr>
            </w:pPr>
            <w:r w:rsidRPr="00486C0C">
              <w:rPr>
                <w:rFonts w:eastAsia="Times New Roman"/>
                <w:color w:val="000000"/>
                <w:sz w:val="22"/>
              </w:rPr>
              <w:t>Terminated</w:t>
            </w:r>
          </w:p>
        </w:tc>
        <w:tc>
          <w:tcPr>
            <w:tcW w:w="960" w:type="dxa"/>
            <w:tcBorders>
              <w:top w:val="nil"/>
              <w:left w:val="nil"/>
              <w:bottom w:val="single" w:sz="4" w:space="0" w:color="auto"/>
              <w:right w:val="single" w:sz="4" w:space="0" w:color="auto"/>
            </w:tcBorders>
            <w:shd w:val="clear" w:color="auto" w:fill="auto"/>
            <w:noWrap/>
            <w:vAlign w:val="bottom"/>
            <w:hideMark/>
          </w:tcPr>
          <w:p w14:paraId="41EB8BB2" w14:textId="77777777" w:rsidR="00EF3BEA" w:rsidRPr="00486C0C" w:rsidRDefault="00EF3BEA" w:rsidP="00CC7DDD">
            <w:pPr>
              <w:jc w:val="right"/>
              <w:rPr>
                <w:rFonts w:eastAsia="Times New Roman"/>
                <w:color w:val="000000"/>
                <w:sz w:val="22"/>
              </w:rPr>
            </w:pPr>
            <w:r w:rsidRPr="00486C0C">
              <w:rPr>
                <w:rFonts w:eastAsia="Times New Roman"/>
                <w:color w:val="000000"/>
                <w:sz w:val="22"/>
              </w:rPr>
              <w:t>414</w:t>
            </w:r>
          </w:p>
        </w:tc>
        <w:tc>
          <w:tcPr>
            <w:tcW w:w="1356" w:type="dxa"/>
            <w:tcBorders>
              <w:top w:val="nil"/>
              <w:left w:val="nil"/>
              <w:bottom w:val="single" w:sz="4" w:space="0" w:color="auto"/>
              <w:right w:val="single" w:sz="4" w:space="0" w:color="auto"/>
            </w:tcBorders>
            <w:shd w:val="clear" w:color="auto" w:fill="auto"/>
            <w:noWrap/>
            <w:vAlign w:val="bottom"/>
            <w:hideMark/>
          </w:tcPr>
          <w:p w14:paraId="045AFDF0" w14:textId="77777777" w:rsidR="00EF3BEA" w:rsidRPr="00486C0C" w:rsidRDefault="00EF3BEA" w:rsidP="00CC7DDD">
            <w:pPr>
              <w:jc w:val="right"/>
              <w:rPr>
                <w:rFonts w:eastAsia="Times New Roman"/>
                <w:color w:val="000000"/>
                <w:sz w:val="22"/>
              </w:rPr>
            </w:pPr>
            <w:r w:rsidRPr="00486C0C">
              <w:rPr>
                <w:rFonts w:eastAsia="Times New Roman"/>
                <w:color w:val="000000"/>
                <w:sz w:val="22"/>
              </w:rPr>
              <w:t>29.9%</w:t>
            </w:r>
          </w:p>
        </w:tc>
      </w:tr>
      <w:tr w:rsidR="00EF3BEA" w:rsidRPr="00486C0C" w14:paraId="2C0063E2"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12D35535" w14:textId="77777777" w:rsidR="00EF3BEA" w:rsidRPr="00486C0C" w:rsidRDefault="00EF3BEA" w:rsidP="00CC7DDD">
            <w:pPr>
              <w:rPr>
                <w:rFonts w:eastAsia="Times New Roman"/>
                <w:color w:val="000000"/>
                <w:sz w:val="22"/>
              </w:rPr>
            </w:pPr>
            <w:r w:rsidRPr="00486C0C">
              <w:rPr>
                <w:rFonts w:eastAsia="Times New Roman"/>
                <w:color w:val="000000"/>
                <w:sz w:val="22"/>
              </w:rPr>
              <w:t>Deceased</w:t>
            </w:r>
          </w:p>
        </w:tc>
        <w:tc>
          <w:tcPr>
            <w:tcW w:w="960" w:type="dxa"/>
            <w:tcBorders>
              <w:top w:val="nil"/>
              <w:left w:val="nil"/>
              <w:bottom w:val="single" w:sz="4" w:space="0" w:color="auto"/>
              <w:right w:val="single" w:sz="4" w:space="0" w:color="auto"/>
            </w:tcBorders>
            <w:shd w:val="clear" w:color="auto" w:fill="auto"/>
            <w:noWrap/>
            <w:vAlign w:val="bottom"/>
            <w:hideMark/>
          </w:tcPr>
          <w:p w14:paraId="50787AA4" w14:textId="77777777" w:rsidR="00EF3BEA" w:rsidRPr="00486C0C" w:rsidRDefault="00EF3BEA" w:rsidP="00CC7DDD">
            <w:pPr>
              <w:jc w:val="right"/>
              <w:rPr>
                <w:rFonts w:eastAsia="Times New Roman"/>
                <w:color w:val="000000"/>
                <w:sz w:val="22"/>
              </w:rPr>
            </w:pPr>
            <w:r w:rsidRPr="00486C0C">
              <w:rPr>
                <w:rFonts w:eastAsia="Times New Roman"/>
                <w:color w:val="000000"/>
                <w:sz w:val="22"/>
              </w:rPr>
              <w:t>5</w:t>
            </w:r>
          </w:p>
        </w:tc>
        <w:tc>
          <w:tcPr>
            <w:tcW w:w="1356" w:type="dxa"/>
            <w:tcBorders>
              <w:top w:val="nil"/>
              <w:left w:val="nil"/>
              <w:bottom w:val="single" w:sz="4" w:space="0" w:color="auto"/>
              <w:right w:val="single" w:sz="4" w:space="0" w:color="auto"/>
            </w:tcBorders>
            <w:shd w:val="clear" w:color="auto" w:fill="auto"/>
            <w:noWrap/>
            <w:vAlign w:val="bottom"/>
            <w:hideMark/>
          </w:tcPr>
          <w:p w14:paraId="3905BBBF" w14:textId="77777777" w:rsidR="00EF3BEA" w:rsidRPr="00486C0C" w:rsidRDefault="00EF3BEA" w:rsidP="00CC7DDD">
            <w:pPr>
              <w:jc w:val="right"/>
              <w:rPr>
                <w:rFonts w:eastAsia="Times New Roman"/>
                <w:color w:val="000000"/>
                <w:sz w:val="22"/>
              </w:rPr>
            </w:pPr>
            <w:r w:rsidRPr="00486C0C">
              <w:rPr>
                <w:rFonts w:eastAsia="Times New Roman"/>
                <w:color w:val="000000"/>
                <w:sz w:val="22"/>
              </w:rPr>
              <w:t>0.4%</w:t>
            </w:r>
          </w:p>
        </w:tc>
      </w:tr>
      <w:tr w:rsidR="00171EB7" w:rsidRPr="00486C0C" w14:paraId="4A67F0A6"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2604923F" w14:textId="77777777" w:rsidR="00171EB7" w:rsidRPr="00486C0C" w:rsidRDefault="00171EB7" w:rsidP="00AB46D1">
            <w:pPr>
              <w:rPr>
                <w:rFonts w:eastAsia="Times New Roman"/>
                <w:color w:val="000000"/>
                <w:sz w:val="22"/>
              </w:rPr>
            </w:pPr>
            <w:r w:rsidRPr="00486C0C">
              <w:rPr>
                <w:rFonts w:eastAsia="Times New Roman"/>
                <w:color w:val="000000"/>
                <w:sz w:val="22"/>
              </w:rPr>
              <w:t>Graduated</w:t>
            </w:r>
          </w:p>
        </w:tc>
        <w:tc>
          <w:tcPr>
            <w:tcW w:w="960" w:type="dxa"/>
            <w:tcBorders>
              <w:top w:val="nil"/>
              <w:left w:val="nil"/>
              <w:bottom w:val="single" w:sz="4" w:space="0" w:color="auto"/>
              <w:right w:val="single" w:sz="4" w:space="0" w:color="auto"/>
            </w:tcBorders>
            <w:shd w:val="clear" w:color="auto" w:fill="auto"/>
            <w:noWrap/>
            <w:vAlign w:val="bottom"/>
            <w:hideMark/>
          </w:tcPr>
          <w:p w14:paraId="186B36C2" w14:textId="77777777" w:rsidR="00171EB7" w:rsidRPr="00486C0C" w:rsidRDefault="00171EB7" w:rsidP="00AB46D1">
            <w:pPr>
              <w:jc w:val="right"/>
              <w:rPr>
                <w:rFonts w:eastAsia="Times New Roman"/>
                <w:color w:val="000000"/>
                <w:sz w:val="22"/>
              </w:rPr>
            </w:pPr>
            <w:r w:rsidRPr="00486C0C">
              <w:rPr>
                <w:rFonts w:eastAsia="Times New Roman"/>
                <w:color w:val="000000"/>
                <w:sz w:val="22"/>
              </w:rPr>
              <w:t>238</w:t>
            </w:r>
          </w:p>
        </w:tc>
        <w:tc>
          <w:tcPr>
            <w:tcW w:w="1356" w:type="dxa"/>
            <w:tcBorders>
              <w:top w:val="nil"/>
              <w:left w:val="nil"/>
              <w:bottom w:val="single" w:sz="4" w:space="0" w:color="auto"/>
              <w:right w:val="single" w:sz="4" w:space="0" w:color="auto"/>
            </w:tcBorders>
            <w:shd w:val="clear" w:color="auto" w:fill="auto"/>
            <w:noWrap/>
            <w:vAlign w:val="bottom"/>
            <w:hideMark/>
          </w:tcPr>
          <w:p w14:paraId="642068F8" w14:textId="77777777" w:rsidR="00171EB7" w:rsidRPr="00486C0C" w:rsidRDefault="00171EB7" w:rsidP="00AB46D1">
            <w:pPr>
              <w:jc w:val="right"/>
              <w:rPr>
                <w:rFonts w:eastAsia="Times New Roman"/>
                <w:color w:val="000000"/>
                <w:sz w:val="22"/>
              </w:rPr>
            </w:pPr>
            <w:r w:rsidRPr="00486C0C">
              <w:rPr>
                <w:rFonts w:eastAsia="Times New Roman"/>
                <w:color w:val="000000"/>
                <w:sz w:val="22"/>
              </w:rPr>
              <w:t>17.2%</w:t>
            </w:r>
          </w:p>
        </w:tc>
      </w:tr>
      <w:tr w:rsidR="00EF3BEA" w:rsidRPr="00486C0C" w14:paraId="2F5B30A1"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1087E221" w14:textId="77777777" w:rsidR="00EF3BEA" w:rsidRPr="00486C0C" w:rsidRDefault="00EF3BEA" w:rsidP="00CC7DDD">
            <w:pPr>
              <w:rPr>
                <w:rFonts w:eastAsia="Times New Roman"/>
                <w:color w:val="000000"/>
                <w:sz w:val="22"/>
              </w:rPr>
            </w:pPr>
            <w:r w:rsidRPr="00486C0C">
              <w:rPr>
                <w:rFonts w:eastAsia="Times New Roman"/>
                <w:color w:val="000000"/>
                <w:sz w:val="22"/>
              </w:rPr>
              <w:t>Bench Warrant Outstanding on 12/31/2014</w:t>
            </w:r>
          </w:p>
        </w:tc>
        <w:tc>
          <w:tcPr>
            <w:tcW w:w="960" w:type="dxa"/>
            <w:tcBorders>
              <w:top w:val="nil"/>
              <w:left w:val="nil"/>
              <w:bottom w:val="single" w:sz="4" w:space="0" w:color="auto"/>
              <w:right w:val="single" w:sz="4" w:space="0" w:color="auto"/>
            </w:tcBorders>
            <w:shd w:val="clear" w:color="auto" w:fill="auto"/>
            <w:noWrap/>
            <w:vAlign w:val="bottom"/>
            <w:hideMark/>
          </w:tcPr>
          <w:p w14:paraId="47FACCF3" w14:textId="77777777" w:rsidR="00EF3BEA" w:rsidRPr="00486C0C" w:rsidRDefault="00EF3BEA" w:rsidP="00CC7DDD">
            <w:pPr>
              <w:jc w:val="right"/>
              <w:rPr>
                <w:rFonts w:eastAsia="Times New Roman"/>
                <w:color w:val="000000"/>
                <w:sz w:val="22"/>
              </w:rPr>
            </w:pPr>
            <w:r w:rsidRPr="00486C0C">
              <w:rPr>
                <w:rFonts w:eastAsia="Times New Roman"/>
                <w:color w:val="000000"/>
                <w:sz w:val="22"/>
              </w:rPr>
              <w:t>61</w:t>
            </w:r>
          </w:p>
        </w:tc>
        <w:tc>
          <w:tcPr>
            <w:tcW w:w="1356" w:type="dxa"/>
            <w:tcBorders>
              <w:top w:val="nil"/>
              <w:left w:val="nil"/>
              <w:bottom w:val="single" w:sz="4" w:space="0" w:color="auto"/>
              <w:right w:val="single" w:sz="4" w:space="0" w:color="auto"/>
            </w:tcBorders>
            <w:shd w:val="clear" w:color="auto" w:fill="auto"/>
            <w:noWrap/>
            <w:vAlign w:val="bottom"/>
            <w:hideMark/>
          </w:tcPr>
          <w:p w14:paraId="7B95729F" w14:textId="77777777" w:rsidR="00EF3BEA" w:rsidRPr="00486C0C" w:rsidRDefault="00EF3BEA" w:rsidP="00CC7DDD">
            <w:pPr>
              <w:jc w:val="right"/>
              <w:rPr>
                <w:rFonts w:eastAsia="Times New Roman"/>
                <w:color w:val="000000"/>
                <w:sz w:val="22"/>
              </w:rPr>
            </w:pPr>
            <w:r w:rsidRPr="00486C0C">
              <w:rPr>
                <w:rFonts w:eastAsia="Times New Roman"/>
                <w:color w:val="000000"/>
                <w:sz w:val="22"/>
              </w:rPr>
              <w:t>4.4%</w:t>
            </w:r>
          </w:p>
        </w:tc>
      </w:tr>
      <w:tr w:rsidR="00EF3BEA" w:rsidRPr="00486C0C" w14:paraId="4996D6DF" w14:textId="77777777" w:rsidTr="00171EB7">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5865557F" w14:textId="77777777" w:rsidR="00EF3BEA" w:rsidRPr="00486C0C" w:rsidRDefault="00EF3BEA" w:rsidP="00CC7DDD">
            <w:pPr>
              <w:rPr>
                <w:rFonts w:eastAsia="Times New Roman"/>
                <w:color w:val="000000"/>
                <w:sz w:val="22"/>
              </w:rPr>
            </w:pPr>
            <w:r w:rsidRPr="00486C0C">
              <w:rPr>
                <w:rFonts w:eastAsia="Times New Roman"/>
                <w:color w:val="000000"/>
                <w:sz w:val="22"/>
              </w:rPr>
              <w:t>Active (&amp; no active bench warrant) on 12/31/2014</w:t>
            </w:r>
          </w:p>
        </w:tc>
        <w:tc>
          <w:tcPr>
            <w:tcW w:w="960" w:type="dxa"/>
            <w:tcBorders>
              <w:top w:val="nil"/>
              <w:left w:val="nil"/>
              <w:bottom w:val="single" w:sz="4" w:space="0" w:color="auto"/>
              <w:right w:val="single" w:sz="4" w:space="0" w:color="auto"/>
            </w:tcBorders>
            <w:shd w:val="clear" w:color="auto" w:fill="auto"/>
            <w:noWrap/>
            <w:vAlign w:val="bottom"/>
            <w:hideMark/>
          </w:tcPr>
          <w:p w14:paraId="428DCE24" w14:textId="77777777" w:rsidR="00EF3BEA" w:rsidRPr="00486C0C" w:rsidRDefault="00EF3BEA" w:rsidP="00CC7DDD">
            <w:pPr>
              <w:jc w:val="right"/>
              <w:rPr>
                <w:rFonts w:eastAsia="Times New Roman"/>
                <w:color w:val="000000"/>
                <w:sz w:val="22"/>
              </w:rPr>
            </w:pPr>
            <w:r w:rsidRPr="00486C0C">
              <w:rPr>
                <w:rFonts w:eastAsia="Times New Roman"/>
                <w:color w:val="000000"/>
                <w:sz w:val="22"/>
              </w:rPr>
              <w:t>455</w:t>
            </w:r>
          </w:p>
        </w:tc>
        <w:tc>
          <w:tcPr>
            <w:tcW w:w="1356" w:type="dxa"/>
            <w:tcBorders>
              <w:top w:val="nil"/>
              <w:left w:val="nil"/>
              <w:bottom w:val="single" w:sz="4" w:space="0" w:color="auto"/>
              <w:right w:val="single" w:sz="4" w:space="0" w:color="auto"/>
            </w:tcBorders>
            <w:shd w:val="clear" w:color="auto" w:fill="auto"/>
            <w:noWrap/>
            <w:vAlign w:val="bottom"/>
            <w:hideMark/>
          </w:tcPr>
          <w:p w14:paraId="552A0F39" w14:textId="77777777" w:rsidR="00EF3BEA" w:rsidRPr="00486C0C" w:rsidRDefault="00EF3BEA" w:rsidP="00CC7DDD">
            <w:pPr>
              <w:jc w:val="right"/>
              <w:rPr>
                <w:rFonts w:eastAsia="Times New Roman"/>
                <w:color w:val="000000"/>
                <w:sz w:val="22"/>
              </w:rPr>
            </w:pPr>
            <w:r w:rsidRPr="00486C0C">
              <w:rPr>
                <w:rFonts w:eastAsia="Times New Roman"/>
                <w:color w:val="000000"/>
                <w:sz w:val="22"/>
              </w:rPr>
              <w:t>32.9%</w:t>
            </w:r>
          </w:p>
        </w:tc>
      </w:tr>
    </w:tbl>
    <w:p w14:paraId="1899B38D" w14:textId="6B298849" w:rsidR="00743631" w:rsidRPr="00743631" w:rsidRDefault="00EF3BEA" w:rsidP="00743631">
      <w:pPr>
        <w:ind w:left="2160" w:firstLine="720"/>
        <w:rPr>
          <w:sz w:val="20"/>
          <w:szCs w:val="20"/>
        </w:rPr>
      </w:pPr>
      <w:r w:rsidRPr="003A4621">
        <w:rPr>
          <w:sz w:val="20"/>
          <w:szCs w:val="20"/>
        </w:rPr>
        <w:t>23 of 23 jurisdictions reporting</w:t>
      </w:r>
    </w:p>
    <w:p w14:paraId="5B89F266" w14:textId="77777777" w:rsidR="00743631" w:rsidRDefault="00743631">
      <w:pPr>
        <w:rPr>
          <w:sz w:val="22"/>
        </w:rPr>
      </w:pPr>
    </w:p>
    <w:p w14:paraId="3939FF83" w14:textId="77777777" w:rsidR="00D818E5" w:rsidRDefault="00EF3BEA">
      <w:pPr>
        <w:rPr>
          <w:b/>
          <w:sz w:val="22"/>
        </w:rPr>
      </w:pPr>
      <w:r w:rsidRPr="003A4621">
        <w:rPr>
          <w:sz w:val="22"/>
        </w:rPr>
        <w:t>Based on these numbers the retention rate at the end of 2014 for the cohort of 201</w:t>
      </w:r>
      <w:r>
        <w:rPr>
          <w:sz w:val="22"/>
        </w:rPr>
        <w:t>3</w:t>
      </w:r>
      <w:r w:rsidRPr="003A4621">
        <w:rPr>
          <w:sz w:val="22"/>
        </w:rPr>
        <w:t xml:space="preserve"> admits was </w:t>
      </w:r>
      <w:r w:rsidR="007342DB">
        <w:rPr>
          <w:sz w:val="22"/>
        </w:rPr>
        <w:t>54</w:t>
      </w:r>
      <w:r w:rsidRPr="003A4621">
        <w:rPr>
          <w:sz w:val="22"/>
        </w:rPr>
        <w:t>%</w:t>
      </w:r>
      <w:r>
        <w:rPr>
          <w:sz w:val="22"/>
        </w:rPr>
        <w:t>.</w:t>
      </w:r>
      <w:r w:rsidR="007342DB">
        <w:rPr>
          <w:sz w:val="22"/>
        </w:rPr>
        <w:t xml:space="preserve"> </w:t>
      </w:r>
      <w:r w:rsidR="00D818E5">
        <w:rPr>
          <w:sz w:val="22"/>
        </w:rPr>
        <w:t xml:space="preserve">The retention rate </w:t>
      </w:r>
      <w:r w:rsidR="007342DB">
        <w:rPr>
          <w:sz w:val="22"/>
        </w:rPr>
        <w:t>includes</w:t>
      </w:r>
      <w:r w:rsidR="00FA4405">
        <w:rPr>
          <w:sz w:val="22"/>
        </w:rPr>
        <w:t xml:space="preserve"> as active</w:t>
      </w:r>
      <w:r w:rsidR="007342DB">
        <w:rPr>
          <w:sz w:val="22"/>
        </w:rPr>
        <w:t xml:space="preserve"> </w:t>
      </w:r>
      <w:r w:rsidR="00D818E5">
        <w:rPr>
          <w:sz w:val="22"/>
        </w:rPr>
        <w:t xml:space="preserve">the </w:t>
      </w:r>
      <w:r w:rsidR="007342DB">
        <w:rPr>
          <w:sz w:val="22"/>
        </w:rPr>
        <w:t>4.4% who had outstanding bench warrants at the end of 2014</w:t>
      </w:r>
      <w:r w:rsidR="00D818E5">
        <w:rPr>
          <w:sz w:val="22"/>
        </w:rPr>
        <w:t xml:space="preserve"> in addition to those who graduated on or before December 31, 2014 and those active on that date</w:t>
      </w:r>
      <w:r w:rsidR="007342DB">
        <w:rPr>
          <w:sz w:val="22"/>
        </w:rPr>
        <w:t>.</w:t>
      </w:r>
    </w:p>
    <w:p w14:paraId="010C09AE" w14:textId="77777777" w:rsidR="00CD025F" w:rsidRDefault="00CD025F">
      <w:pPr>
        <w:rPr>
          <w:b/>
          <w:sz w:val="22"/>
        </w:rPr>
      </w:pPr>
    </w:p>
    <w:p w14:paraId="45DBF775" w14:textId="77777777" w:rsidR="002640B4" w:rsidRDefault="002640B4" w:rsidP="00430896">
      <w:pPr>
        <w:jc w:val="both"/>
        <w:rPr>
          <w:b/>
          <w:sz w:val="22"/>
        </w:rPr>
      </w:pPr>
      <w:r>
        <w:rPr>
          <w:b/>
          <w:sz w:val="22"/>
        </w:rPr>
        <w:br/>
      </w:r>
    </w:p>
    <w:p w14:paraId="22B11388" w14:textId="77777777" w:rsidR="002640B4" w:rsidRDefault="002640B4">
      <w:pPr>
        <w:rPr>
          <w:b/>
          <w:sz w:val="22"/>
        </w:rPr>
      </w:pPr>
      <w:r>
        <w:rPr>
          <w:b/>
          <w:sz w:val="22"/>
        </w:rPr>
        <w:br w:type="page"/>
      </w:r>
    </w:p>
    <w:p w14:paraId="7E47070B" w14:textId="77777777" w:rsidR="00D818E5" w:rsidRDefault="00EF3BEA" w:rsidP="00430896">
      <w:pPr>
        <w:jc w:val="both"/>
        <w:rPr>
          <w:sz w:val="22"/>
        </w:rPr>
      </w:pPr>
      <w:r w:rsidRPr="00EF3BEA">
        <w:rPr>
          <w:b/>
          <w:sz w:val="22"/>
        </w:rPr>
        <w:t>Participants Ad</w:t>
      </w:r>
      <w:r>
        <w:rPr>
          <w:b/>
          <w:sz w:val="22"/>
        </w:rPr>
        <w:t>mitted in 2012</w:t>
      </w:r>
      <w:r w:rsidRPr="00EF3BEA">
        <w:rPr>
          <w:sz w:val="22"/>
        </w:rPr>
        <w:t>:</w:t>
      </w:r>
      <w:r>
        <w:rPr>
          <w:b/>
          <w:sz w:val="22"/>
        </w:rPr>
        <w:t xml:space="preserve"> </w:t>
      </w:r>
      <w:r w:rsidR="00EE748E" w:rsidRPr="003A4621">
        <w:rPr>
          <w:sz w:val="22"/>
        </w:rPr>
        <w:t>At the end of 201</w:t>
      </w:r>
      <w:r w:rsidR="006106A1" w:rsidRPr="003A4621">
        <w:rPr>
          <w:sz w:val="22"/>
        </w:rPr>
        <w:t>4</w:t>
      </w:r>
      <w:r w:rsidR="00EE748E" w:rsidRPr="003A4621">
        <w:rPr>
          <w:sz w:val="22"/>
        </w:rPr>
        <w:t xml:space="preserve"> the status of the </w:t>
      </w:r>
      <w:r w:rsidR="00E7490B" w:rsidRPr="003A4621">
        <w:rPr>
          <w:sz w:val="22"/>
        </w:rPr>
        <w:t>1</w:t>
      </w:r>
      <w:r w:rsidR="00B70784">
        <w:rPr>
          <w:sz w:val="22"/>
        </w:rPr>
        <w:t>,</w:t>
      </w:r>
      <w:r w:rsidR="00E7490B" w:rsidRPr="003A4621">
        <w:rPr>
          <w:sz w:val="22"/>
        </w:rPr>
        <w:t>498</w:t>
      </w:r>
      <w:r w:rsidR="002D1AF0" w:rsidRPr="003A4621">
        <w:rPr>
          <w:sz w:val="22"/>
        </w:rPr>
        <w:t xml:space="preserve"> </w:t>
      </w:r>
      <w:r w:rsidR="00EE748E" w:rsidRPr="003A4621">
        <w:rPr>
          <w:sz w:val="22"/>
        </w:rPr>
        <w:t xml:space="preserve">participants starting drug court in </w:t>
      </w:r>
      <w:r w:rsidR="00EE748E" w:rsidRPr="003A4621">
        <w:rPr>
          <w:b/>
          <w:sz w:val="22"/>
        </w:rPr>
        <w:t>2012</w:t>
      </w:r>
      <w:r w:rsidR="00EE748E" w:rsidRPr="003A4621">
        <w:rPr>
          <w:sz w:val="22"/>
        </w:rPr>
        <w:t xml:space="preserve"> </w:t>
      </w:r>
      <w:r w:rsidR="006106A1" w:rsidRPr="003A4621">
        <w:rPr>
          <w:sz w:val="22"/>
        </w:rPr>
        <w:t>was:</w:t>
      </w:r>
    </w:p>
    <w:p w14:paraId="6B9D1000" w14:textId="77777777" w:rsidR="00C51BE7" w:rsidRPr="003A4621" w:rsidRDefault="00C51BE7" w:rsidP="00430896">
      <w:pPr>
        <w:jc w:val="both"/>
        <w:rPr>
          <w:sz w:val="22"/>
        </w:rPr>
      </w:pPr>
    </w:p>
    <w:tbl>
      <w:tblPr>
        <w:tblpPr w:leftFromText="180" w:rightFromText="180" w:vertAnchor="text" w:horzAnchor="page" w:tblpX="2326" w:tblpY="39"/>
        <w:tblOverlap w:val="never"/>
        <w:tblW w:w="7603" w:type="dxa"/>
        <w:tblLook w:val="04A0" w:firstRow="1" w:lastRow="0" w:firstColumn="1" w:lastColumn="0" w:noHBand="0" w:noVBand="1"/>
      </w:tblPr>
      <w:tblGrid>
        <w:gridCol w:w="5760"/>
        <w:gridCol w:w="880"/>
        <w:gridCol w:w="963"/>
      </w:tblGrid>
      <w:tr w:rsidR="003B67C0" w:rsidRPr="001B048A" w14:paraId="2EC3A414" w14:textId="77777777" w:rsidTr="003B67C0">
        <w:trPr>
          <w:trHeight w:val="28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2B82" w14:textId="77777777" w:rsidR="003B67C0" w:rsidRPr="001B048A" w:rsidRDefault="003B67C0" w:rsidP="003B67C0">
            <w:pPr>
              <w:rPr>
                <w:rFonts w:eastAsia="Times New Roman"/>
                <w:color w:val="000000"/>
                <w:sz w:val="22"/>
              </w:rPr>
            </w:pPr>
            <w:r w:rsidRPr="001B048A">
              <w:rPr>
                <w:rFonts w:eastAsia="Times New Roman"/>
                <w:color w:val="000000"/>
                <w:sz w:val="22"/>
              </w:rPr>
              <w:t>Participants Started</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A1FCD1A" w14:textId="77777777" w:rsidR="003B67C0" w:rsidRPr="001B048A" w:rsidRDefault="003B67C0" w:rsidP="003B67C0">
            <w:pPr>
              <w:jc w:val="right"/>
              <w:rPr>
                <w:rFonts w:eastAsia="Times New Roman"/>
                <w:color w:val="000000"/>
                <w:sz w:val="22"/>
              </w:rPr>
            </w:pPr>
            <w:r w:rsidRPr="001B048A">
              <w:rPr>
                <w:rFonts w:eastAsia="Times New Roman"/>
                <w:color w:val="000000"/>
                <w:sz w:val="22"/>
              </w:rPr>
              <w:t>1</w:t>
            </w:r>
            <w:r w:rsidR="00B70784">
              <w:rPr>
                <w:rFonts w:eastAsia="Times New Roman"/>
                <w:color w:val="000000"/>
                <w:sz w:val="22"/>
              </w:rPr>
              <w:t>,</w:t>
            </w:r>
            <w:r w:rsidRPr="001B048A">
              <w:rPr>
                <w:rFonts w:eastAsia="Times New Roman"/>
                <w:color w:val="000000"/>
                <w:sz w:val="22"/>
              </w:rPr>
              <w:t>497</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10C4518" w14:textId="77777777" w:rsidR="003B67C0" w:rsidRPr="001B048A" w:rsidRDefault="003B67C0" w:rsidP="003B67C0">
            <w:pPr>
              <w:jc w:val="right"/>
              <w:rPr>
                <w:rFonts w:eastAsia="Times New Roman"/>
                <w:color w:val="000000"/>
                <w:sz w:val="22"/>
              </w:rPr>
            </w:pPr>
            <w:r w:rsidRPr="001B048A">
              <w:rPr>
                <w:rFonts w:eastAsia="Times New Roman"/>
                <w:color w:val="000000"/>
                <w:sz w:val="22"/>
              </w:rPr>
              <w:t>100.0%</w:t>
            </w:r>
          </w:p>
        </w:tc>
      </w:tr>
      <w:tr w:rsidR="003B67C0" w:rsidRPr="001B048A" w14:paraId="55EE5D96"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227A5E7F" w14:textId="77777777" w:rsidR="003B67C0" w:rsidRPr="001B048A" w:rsidRDefault="003B67C0" w:rsidP="003B67C0">
            <w:pPr>
              <w:rPr>
                <w:rFonts w:eastAsia="Times New Roman"/>
                <w:color w:val="000000"/>
                <w:sz w:val="22"/>
              </w:rPr>
            </w:pPr>
            <w:r w:rsidRPr="001B048A">
              <w:rPr>
                <w:rFonts w:eastAsia="Times New Roman"/>
                <w:color w:val="000000"/>
                <w:sz w:val="22"/>
              </w:rPr>
              <w:t>Opted-Out</w:t>
            </w:r>
          </w:p>
        </w:tc>
        <w:tc>
          <w:tcPr>
            <w:tcW w:w="880" w:type="dxa"/>
            <w:tcBorders>
              <w:top w:val="nil"/>
              <w:left w:val="nil"/>
              <w:bottom w:val="single" w:sz="4" w:space="0" w:color="auto"/>
              <w:right w:val="single" w:sz="4" w:space="0" w:color="auto"/>
            </w:tcBorders>
            <w:shd w:val="clear" w:color="auto" w:fill="auto"/>
            <w:noWrap/>
            <w:vAlign w:val="bottom"/>
            <w:hideMark/>
          </w:tcPr>
          <w:p w14:paraId="4B87EFB3" w14:textId="77777777" w:rsidR="003B67C0" w:rsidRPr="001B048A" w:rsidRDefault="003B67C0" w:rsidP="003B67C0">
            <w:pPr>
              <w:jc w:val="right"/>
              <w:rPr>
                <w:rFonts w:eastAsia="Times New Roman"/>
                <w:color w:val="000000"/>
                <w:sz w:val="22"/>
              </w:rPr>
            </w:pPr>
            <w:r w:rsidRPr="001B048A">
              <w:rPr>
                <w:rFonts w:eastAsia="Times New Roman"/>
                <w:color w:val="000000"/>
                <w:sz w:val="22"/>
              </w:rPr>
              <w:t>247</w:t>
            </w:r>
          </w:p>
        </w:tc>
        <w:tc>
          <w:tcPr>
            <w:tcW w:w="963" w:type="dxa"/>
            <w:tcBorders>
              <w:top w:val="nil"/>
              <w:left w:val="nil"/>
              <w:bottom w:val="single" w:sz="4" w:space="0" w:color="auto"/>
              <w:right w:val="single" w:sz="4" w:space="0" w:color="auto"/>
            </w:tcBorders>
            <w:shd w:val="clear" w:color="auto" w:fill="auto"/>
            <w:noWrap/>
            <w:vAlign w:val="bottom"/>
            <w:hideMark/>
          </w:tcPr>
          <w:p w14:paraId="39037D65" w14:textId="77777777" w:rsidR="003B67C0" w:rsidRPr="001B048A" w:rsidRDefault="003B67C0" w:rsidP="003B67C0">
            <w:pPr>
              <w:jc w:val="right"/>
              <w:rPr>
                <w:rFonts w:eastAsia="Times New Roman"/>
                <w:color w:val="000000"/>
                <w:sz w:val="22"/>
              </w:rPr>
            </w:pPr>
            <w:r w:rsidRPr="001B048A">
              <w:rPr>
                <w:rFonts w:eastAsia="Times New Roman"/>
                <w:color w:val="000000"/>
                <w:sz w:val="22"/>
              </w:rPr>
              <w:t>16.5%</w:t>
            </w:r>
          </w:p>
        </w:tc>
      </w:tr>
      <w:tr w:rsidR="003B67C0" w:rsidRPr="001B048A" w14:paraId="2935BD9E"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348931CA" w14:textId="77777777" w:rsidR="003B67C0" w:rsidRPr="001B048A" w:rsidRDefault="003B67C0" w:rsidP="003B67C0">
            <w:pPr>
              <w:rPr>
                <w:rFonts w:eastAsia="Times New Roman"/>
                <w:color w:val="000000"/>
                <w:sz w:val="22"/>
              </w:rPr>
            </w:pPr>
            <w:r w:rsidRPr="001B048A">
              <w:rPr>
                <w:rFonts w:eastAsia="Times New Roman"/>
                <w:color w:val="000000"/>
                <w:sz w:val="22"/>
              </w:rPr>
              <w:t>Admission Denied</w:t>
            </w:r>
          </w:p>
        </w:tc>
        <w:tc>
          <w:tcPr>
            <w:tcW w:w="880" w:type="dxa"/>
            <w:tcBorders>
              <w:top w:val="nil"/>
              <w:left w:val="nil"/>
              <w:bottom w:val="single" w:sz="4" w:space="0" w:color="auto"/>
              <w:right w:val="single" w:sz="4" w:space="0" w:color="auto"/>
            </w:tcBorders>
            <w:shd w:val="clear" w:color="auto" w:fill="auto"/>
            <w:noWrap/>
            <w:vAlign w:val="bottom"/>
            <w:hideMark/>
          </w:tcPr>
          <w:p w14:paraId="0E47D440" w14:textId="77777777" w:rsidR="003B67C0" w:rsidRPr="001B048A" w:rsidRDefault="003B67C0" w:rsidP="003B67C0">
            <w:pPr>
              <w:jc w:val="right"/>
              <w:rPr>
                <w:rFonts w:eastAsia="Times New Roman"/>
                <w:color w:val="000000"/>
                <w:sz w:val="22"/>
              </w:rPr>
            </w:pPr>
            <w:r w:rsidRPr="001B048A">
              <w:rPr>
                <w:rFonts w:eastAsia="Times New Roman"/>
                <w:color w:val="000000"/>
                <w:sz w:val="22"/>
              </w:rPr>
              <w:t>7</w:t>
            </w:r>
          </w:p>
        </w:tc>
        <w:tc>
          <w:tcPr>
            <w:tcW w:w="963" w:type="dxa"/>
            <w:tcBorders>
              <w:top w:val="nil"/>
              <w:left w:val="nil"/>
              <w:bottom w:val="single" w:sz="4" w:space="0" w:color="auto"/>
              <w:right w:val="single" w:sz="4" w:space="0" w:color="auto"/>
            </w:tcBorders>
            <w:shd w:val="clear" w:color="auto" w:fill="auto"/>
            <w:noWrap/>
            <w:vAlign w:val="bottom"/>
            <w:hideMark/>
          </w:tcPr>
          <w:p w14:paraId="74A641C3" w14:textId="77777777" w:rsidR="003B67C0" w:rsidRPr="001B048A" w:rsidRDefault="003B67C0" w:rsidP="003B67C0">
            <w:pPr>
              <w:jc w:val="right"/>
              <w:rPr>
                <w:rFonts w:eastAsia="Times New Roman"/>
                <w:color w:val="000000"/>
                <w:sz w:val="22"/>
              </w:rPr>
            </w:pPr>
            <w:r w:rsidRPr="001B048A">
              <w:rPr>
                <w:rFonts w:eastAsia="Times New Roman"/>
                <w:color w:val="000000"/>
                <w:sz w:val="22"/>
              </w:rPr>
              <w:t>0.5%</w:t>
            </w:r>
          </w:p>
        </w:tc>
      </w:tr>
      <w:tr w:rsidR="003B67C0" w:rsidRPr="001B048A" w14:paraId="4FC088AA"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0DB81FE8" w14:textId="77777777" w:rsidR="003B67C0" w:rsidRPr="001B048A" w:rsidRDefault="003B67C0" w:rsidP="003B67C0">
            <w:pPr>
              <w:rPr>
                <w:rFonts w:eastAsia="Times New Roman"/>
                <w:color w:val="000000"/>
                <w:sz w:val="22"/>
              </w:rPr>
            </w:pPr>
            <w:r w:rsidRPr="001B048A">
              <w:rPr>
                <w:rFonts w:eastAsia="Times New Roman"/>
                <w:color w:val="000000"/>
                <w:sz w:val="22"/>
              </w:rPr>
              <w:t>Withdrew (after expiration of any opt-in or opt-out period)</w:t>
            </w:r>
          </w:p>
        </w:tc>
        <w:tc>
          <w:tcPr>
            <w:tcW w:w="880" w:type="dxa"/>
            <w:tcBorders>
              <w:top w:val="nil"/>
              <w:left w:val="nil"/>
              <w:bottom w:val="single" w:sz="4" w:space="0" w:color="auto"/>
              <w:right w:val="single" w:sz="4" w:space="0" w:color="auto"/>
            </w:tcBorders>
            <w:shd w:val="clear" w:color="auto" w:fill="auto"/>
            <w:noWrap/>
            <w:vAlign w:val="bottom"/>
            <w:hideMark/>
          </w:tcPr>
          <w:p w14:paraId="6BACC206" w14:textId="77777777" w:rsidR="003B67C0" w:rsidRPr="001B048A" w:rsidRDefault="003B67C0" w:rsidP="003B67C0">
            <w:pPr>
              <w:jc w:val="right"/>
              <w:rPr>
                <w:rFonts w:eastAsia="Times New Roman"/>
                <w:color w:val="000000"/>
                <w:sz w:val="22"/>
              </w:rPr>
            </w:pPr>
            <w:r w:rsidRPr="001B048A">
              <w:rPr>
                <w:rFonts w:eastAsia="Times New Roman"/>
                <w:color w:val="000000"/>
                <w:sz w:val="22"/>
              </w:rPr>
              <w:t>42</w:t>
            </w:r>
          </w:p>
        </w:tc>
        <w:tc>
          <w:tcPr>
            <w:tcW w:w="963" w:type="dxa"/>
            <w:tcBorders>
              <w:top w:val="nil"/>
              <w:left w:val="nil"/>
              <w:bottom w:val="single" w:sz="4" w:space="0" w:color="auto"/>
              <w:right w:val="single" w:sz="4" w:space="0" w:color="auto"/>
            </w:tcBorders>
            <w:shd w:val="clear" w:color="auto" w:fill="auto"/>
            <w:noWrap/>
            <w:vAlign w:val="bottom"/>
            <w:hideMark/>
          </w:tcPr>
          <w:p w14:paraId="5D9C499A" w14:textId="77777777" w:rsidR="003B67C0" w:rsidRPr="001B048A" w:rsidRDefault="003B67C0" w:rsidP="003B67C0">
            <w:pPr>
              <w:jc w:val="right"/>
              <w:rPr>
                <w:rFonts w:eastAsia="Times New Roman"/>
                <w:color w:val="000000"/>
                <w:sz w:val="22"/>
              </w:rPr>
            </w:pPr>
            <w:r w:rsidRPr="001B048A">
              <w:rPr>
                <w:rFonts w:eastAsia="Times New Roman"/>
                <w:color w:val="000000"/>
                <w:sz w:val="22"/>
              </w:rPr>
              <w:t>2.8%</w:t>
            </w:r>
          </w:p>
        </w:tc>
      </w:tr>
      <w:tr w:rsidR="003B67C0" w:rsidRPr="001B048A" w14:paraId="4FB68B8B"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2847B4EE" w14:textId="77777777" w:rsidR="003B67C0" w:rsidRPr="001B048A" w:rsidRDefault="003B67C0" w:rsidP="003B67C0">
            <w:pPr>
              <w:rPr>
                <w:rFonts w:eastAsia="Times New Roman"/>
                <w:color w:val="000000"/>
                <w:sz w:val="22"/>
              </w:rPr>
            </w:pPr>
            <w:r w:rsidRPr="001B048A">
              <w:rPr>
                <w:rFonts w:eastAsia="Times New Roman"/>
                <w:color w:val="000000"/>
                <w:sz w:val="22"/>
              </w:rPr>
              <w:t>Terminated</w:t>
            </w:r>
          </w:p>
        </w:tc>
        <w:tc>
          <w:tcPr>
            <w:tcW w:w="880" w:type="dxa"/>
            <w:tcBorders>
              <w:top w:val="nil"/>
              <w:left w:val="nil"/>
              <w:bottom w:val="single" w:sz="4" w:space="0" w:color="auto"/>
              <w:right w:val="single" w:sz="4" w:space="0" w:color="auto"/>
            </w:tcBorders>
            <w:shd w:val="clear" w:color="auto" w:fill="auto"/>
            <w:noWrap/>
            <w:vAlign w:val="bottom"/>
            <w:hideMark/>
          </w:tcPr>
          <w:p w14:paraId="61F4D9C3" w14:textId="77777777" w:rsidR="003B67C0" w:rsidRPr="001B048A" w:rsidRDefault="003B67C0" w:rsidP="003B67C0">
            <w:pPr>
              <w:jc w:val="right"/>
              <w:rPr>
                <w:rFonts w:eastAsia="Times New Roman"/>
                <w:color w:val="000000"/>
                <w:sz w:val="22"/>
              </w:rPr>
            </w:pPr>
            <w:r w:rsidRPr="001B048A">
              <w:rPr>
                <w:rFonts w:eastAsia="Times New Roman"/>
                <w:color w:val="000000"/>
                <w:sz w:val="22"/>
              </w:rPr>
              <w:t>474</w:t>
            </w:r>
          </w:p>
        </w:tc>
        <w:tc>
          <w:tcPr>
            <w:tcW w:w="963" w:type="dxa"/>
            <w:tcBorders>
              <w:top w:val="nil"/>
              <w:left w:val="nil"/>
              <w:bottom w:val="single" w:sz="4" w:space="0" w:color="auto"/>
              <w:right w:val="single" w:sz="4" w:space="0" w:color="auto"/>
            </w:tcBorders>
            <w:shd w:val="clear" w:color="auto" w:fill="auto"/>
            <w:noWrap/>
            <w:vAlign w:val="bottom"/>
            <w:hideMark/>
          </w:tcPr>
          <w:p w14:paraId="0952FCBD" w14:textId="77777777" w:rsidR="003B67C0" w:rsidRPr="001B048A" w:rsidRDefault="003B67C0" w:rsidP="003B67C0">
            <w:pPr>
              <w:jc w:val="right"/>
              <w:rPr>
                <w:rFonts w:eastAsia="Times New Roman"/>
                <w:color w:val="000000"/>
                <w:sz w:val="22"/>
              </w:rPr>
            </w:pPr>
            <w:r w:rsidRPr="001B048A">
              <w:rPr>
                <w:rFonts w:eastAsia="Times New Roman"/>
                <w:color w:val="000000"/>
                <w:sz w:val="22"/>
              </w:rPr>
              <w:t>31.7%</w:t>
            </w:r>
          </w:p>
        </w:tc>
      </w:tr>
      <w:tr w:rsidR="003B67C0" w:rsidRPr="001B048A" w14:paraId="7FC3A9CC"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291425C5" w14:textId="77777777" w:rsidR="003B67C0" w:rsidRPr="001B048A" w:rsidRDefault="003B67C0" w:rsidP="003B67C0">
            <w:pPr>
              <w:rPr>
                <w:rFonts w:eastAsia="Times New Roman"/>
                <w:color w:val="000000"/>
                <w:sz w:val="22"/>
              </w:rPr>
            </w:pPr>
            <w:r w:rsidRPr="001B048A">
              <w:rPr>
                <w:rFonts w:eastAsia="Times New Roman"/>
                <w:color w:val="000000"/>
                <w:sz w:val="22"/>
              </w:rPr>
              <w:t>Deceased</w:t>
            </w:r>
          </w:p>
        </w:tc>
        <w:tc>
          <w:tcPr>
            <w:tcW w:w="880" w:type="dxa"/>
            <w:tcBorders>
              <w:top w:val="nil"/>
              <w:left w:val="nil"/>
              <w:bottom w:val="single" w:sz="4" w:space="0" w:color="auto"/>
              <w:right w:val="single" w:sz="4" w:space="0" w:color="auto"/>
            </w:tcBorders>
            <w:shd w:val="clear" w:color="auto" w:fill="auto"/>
            <w:noWrap/>
            <w:vAlign w:val="bottom"/>
            <w:hideMark/>
          </w:tcPr>
          <w:p w14:paraId="04F9BAFB" w14:textId="77777777" w:rsidR="003B67C0" w:rsidRPr="001B048A" w:rsidRDefault="003B67C0" w:rsidP="003B67C0">
            <w:pPr>
              <w:jc w:val="right"/>
              <w:rPr>
                <w:rFonts w:eastAsia="Times New Roman"/>
                <w:color w:val="000000"/>
                <w:sz w:val="22"/>
              </w:rPr>
            </w:pPr>
            <w:r w:rsidRPr="001B048A">
              <w:rPr>
                <w:rFonts w:eastAsia="Times New Roman"/>
                <w:color w:val="000000"/>
                <w:sz w:val="22"/>
              </w:rPr>
              <w:t>2</w:t>
            </w:r>
          </w:p>
        </w:tc>
        <w:tc>
          <w:tcPr>
            <w:tcW w:w="963" w:type="dxa"/>
            <w:tcBorders>
              <w:top w:val="nil"/>
              <w:left w:val="nil"/>
              <w:bottom w:val="single" w:sz="4" w:space="0" w:color="auto"/>
              <w:right w:val="single" w:sz="4" w:space="0" w:color="auto"/>
            </w:tcBorders>
            <w:shd w:val="clear" w:color="auto" w:fill="auto"/>
            <w:noWrap/>
            <w:vAlign w:val="bottom"/>
            <w:hideMark/>
          </w:tcPr>
          <w:p w14:paraId="7B86DC70" w14:textId="77777777" w:rsidR="003B67C0" w:rsidRPr="001B048A" w:rsidRDefault="003B67C0" w:rsidP="003B67C0">
            <w:pPr>
              <w:jc w:val="right"/>
              <w:rPr>
                <w:rFonts w:eastAsia="Times New Roman"/>
                <w:color w:val="000000"/>
                <w:sz w:val="22"/>
              </w:rPr>
            </w:pPr>
            <w:r w:rsidRPr="001B048A">
              <w:rPr>
                <w:rFonts w:eastAsia="Times New Roman"/>
                <w:color w:val="000000"/>
                <w:sz w:val="22"/>
              </w:rPr>
              <w:t>0.1%</w:t>
            </w:r>
          </w:p>
        </w:tc>
      </w:tr>
      <w:tr w:rsidR="00171EB7" w:rsidRPr="001B048A" w14:paraId="37F8F052"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tcPr>
          <w:p w14:paraId="1055F3B8" w14:textId="77777777" w:rsidR="00171EB7" w:rsidRPr="001B048A" w:rsidRDefault="00171EB7" w:rsidP="00171EB7">
            <w:pPr>
              <w:rPr>
                <w:rFonts w:eastAsia="Times New Roman"/>
                <w:color w:val="000000"/>
                <w:sz w:val="22"/>
              </w:rPr>
            </w:pPr>
            <w:r w:rsidRPr="001B048A">
              <w:rPr>
                <w:rFonts w:eastAsia="Times New Roman"/>
                <w:color w:val="000000"/>
                <w:sz w:val="22"/>
              </w:rPr>
              <w:t>Graduated</w:t>
            </w:r>
          </w:p>
        </w:tc>
        <w:tc>
          <w:tcPr>
            <w:tcW w:w="880" w:type="dxa"/>
            <w:tcBorders>
              <w:top w:val="nil"/>
              <w:left w:val="nil"/>
              <w:bottom w:val="single" w:sz="4" w:space="0" w:color="auto"/>
              <w:right w:val="single" w:sz="4" w:space="0" w:color="auto"/>
            </w:tcBorders>
            <w:shd w:val="clear" w:color="auto" w:fill="auto"/>
            <w:noWrap/>
            <w:vAlign w:val="bottom"/>
          </w:tcPr>
          <w:p w14:paraId="4C739004" w14:textId="77777777" w:rsidR="00171EB7" w:rsidRPr="001B048A" w:rsidRDefault="00171EB7" w:rsidP="00171EB7">
            <w:pPr>
              <w:jc w:val="right"/>
              <w:rPr>
                <w:rFonts w:eastAsia="Times New Roman"/>
                <w:color w:val="000000"/>
                <w:sz w:val="22"/>
              </w:rPr>
            </w:pPr>
            <w:r w:rsidRPr="001B048A">
              <w:rPr>
                <w:rFonts w:eastAsia="Times New Roman"/>
                <w:color w:val="000000"/>
                <w:sz w:val="22"/>
              </w:rPr>
              <w:t>528</w:t>
            </w:r>
          </w:p>
        </w:tc>
        <w:tc>
          <w:tcPr>
            <w:tcW w:w="963" w:type="dxa"/>
            <w:tcBorders>
              <w:top w:val="nil"/>
              <w:left w:val="nil"/>
              <w:bottom w:val="single" w:sz="4" w:space="0" w:color="auto"/>
              <w:right w:val="single" w:sz="4" w:space="0" w:color="auto"/>
            </w:tcBorders>
            <w:shd w:val="clear" w:color="auto" w:fill="auto"/>
            <w:noWrap/>
            <w:vAlign w:val="bottom"/>
          </w:tcPr>
          <w:p w14:paraId="0868CFCF" w14:textId="77777777" w:rsidR="00171EB7" w:rsidRPr="001B048A" w:rsidRDefault="00171EB7" w:rsidP="00171EB7">
            <w:pPr>
              <w:jc w:val="right"/>
              <w:rPr>
                <w:rFonts w:eastAsia="Times New Roman"/>
                <w:color w:val="000000"/>
                <w:sz w:val="22"/>
              </w:rPr>
            </w:pPr>
            <w:r w:rsidRPr="001B048A">
              <w:rPr>
                <w:rFonts w:eastAsia="Times New Roman"/>
                <w:color w:val="000000"/>
                <w:sz w:val="22"/>
              </w:rPr>
              <w:t>35.3%</w:t>
            </w:r>
          </w:p>
        </w:tc>
      </w:tr>
      <w:tr w:rsidR="00171EB7" w:rsidRPr="001B048A" w14:paraId="18737AF7"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64285580" w14:textId="77777777" w:rsidR="00171EB7" w:rsidRPr="001B048A" w:rsidRDefault="00171EB7" w:rsidP="00171EB7">
            <w:pPr>
              <w:rPr>
                <w:rFonts w:eastAsia="Times New Roman"/>
                <w:color w:val="000000"/>
                <w:sz w:val="22"/>
              </w:rPr>
            </w:pPr>
            <w:r w:rsidRPr="001B048A">
              <w:rPr>
                <w:rFonts w:eastAsia="Times New Roman"/>
                <w:color w:val="000000"/>
                <w:sz w:val="22"/>
              </w:rPr>
              <w:t>Bench Warrant Outstanding on 12/31/2014</w:t>
            </w:r>
          </w:p>
        </w:tc>
        <w:tc>
          <w:tcPr>
            <w:tcW w:w="880" w:type="dxa"/>
            <w:tcBorders>
              <w:top w:val="nil"/>
              <w:left w:val="nil"/>
              <w:bottom w:val="single" w:sz="4" w:space="0" w:color="auto"/>
              <w:right w:val="single" w:sz="4" w:space="0" w:color="auto"/>
            </w:tcBorders>
            <w:shd w:val="clear" w:color="auto" w:fill="auto"/>
            <w:noWrap/>
            <w:vAlign w:val="bottom"/>
            <w:hideMark/>
          </w:tcPr>
          <w:p w14:paraId="7A64F5EC" w14:textId="77777777" w:rsidR="00171EB7" w:rsidRPr="001B048A" w:rsidRDefault="00171EB7" w:rsidP="00171EB7">
            <w:pPr>
              <w:jc w:val="right"/>
              <w:rPr>
                <w:rFonts w:eastAsia="Times New Roman"/>
                <w:color w:val="000000"/>
                <w:sz w:val="22"/>
              </w:rPr>
            </w:pPr>
            <w:r w:rsidRPr="001B048A">
              <w:rPr>
                <w:rFonts w:eastAsia="Times New Roman"/>
                <w:color w:val="000000"/>
                <w:sz w:val="22"/>
              </w:rPr>
              <w:t>29</w:t>
            </w:r>
          </w:p>
        </w:tc>
        <w:tc>
          <w:tcPr>
            <w:tcW w:w="963" w:type="dxa"/>
            <w:tcBorders>
              <w:top w:val="nil"/>
              <w:left w:val="nil"/>
              <w:bottom w:val="single" w:sz="4" w:space="0" w:color="auto"/>
              <w:right w:val="single" w:sz="4" w:space="0" w:color="auto"/>
            </w:tcBorders>
            <w:shd w:val="clear" w:color="auto" w:fill="auto"/>
            <w:noWrap/>
            <w:vAlign w:val="bottom"/>
            <w:hideMark/>
          </w:tcPr>
          <w:p w14:paraId="0E3B6A8E" w14:textId="77777777" w:rsidR="00171EB7" w:rsidRPr="001B048A" w:rsidRDefault="00171EB7" w:rsidP="00171EB7">
            <w:pPr>
              <w:jc w:val="right"/>
              <w:rPr>
                <w:rFonts w:eastAsia="Times New Roman"/>
                <w:color w:val="000000"/>
                <w:sz w:val="22"/>
              </w:rPr>
            </w:pPr>
            <w:r w:rsidRPr="001B048A">
              <w:rPr>
                <w:rFonts w:eastAsia="Times New Roman"/>
                <w:color w:val="000000"/>
                <w:sz w:val="22"/>
              </w:rPr>
              <w:t>1.9%</w:t>
            </w:r>
          </w:p>
        </w:tc>
      </w:tr>
      <w:tr w:rsidR="00171EB7" w:rsidRPr="001B048A" w14:paraId="7E574A6D" w14:textId="77777777" w:rsidTr="003B67C0">
        <w:trPr>
          <w:trHeight w:val="285"/>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2141241C" w14:textId="77777777" w:rsidR="00171EB7" w:rsidRPr="001B048A" w:rsidRDefault="00171EB7" w:rsidP="00171EB7">
            <w:pPr>
              <w:rPr>
                <w:rFonts w:eastAsia="Times New Roman"/>
                <w:color w:val="000000"/>
                <w:sz w:val="22"/>
              </w:rPr>
            </w:pPr>
            <w:r w:rsidRPr="001B048A">
              <w:rPr>
                <w:rFonts w:eastAsia="Times New Roman"/>
                <w:color w:val="000000"/>
                <w:sz w:val="22"/>
              </w:rPr>
              <w:t>Active (&amp; no active bench warrant) on 12/31/2014</w:t>
            </w:r>
          </w:p>
        </w:tc>
        <w:tc>
          <w:tcPr>
            <w:tcW w:w="880" w:type="dxa"/>
            <w:tcBorders>
              <w:top w:val="nil"/>
              <w:left w:val="nil"/>
              <w:bottom w:val="single" w:sz="4" w:space="0" w:color="auto"/>
              <w:right w:val="single" w:sz="4" w:space="0" w:color="auto"/>
            </w:tcBorders>
            <w:shd w:val="clear" w:color="auto" w:fill="auto"/>
            <w:noWrap/>
            <w:vAlign w:val="bottom"/>
            <w:hideMark/>
          </w:tcPr>
          <w:p w14:paraId="5B12F97F" w14:textId="77777777" w:rsidR="00171EB7" w:rsidRPr="001B048A" w:rsidRDefault="00171EB7" w:rsidP="00171EB7">
            <w:pPr>
              <w:jc w:val="right"/>
              <w:rPr>
                <w:rFonts w:eastAsia="Times New Roman"/>
                <w:color w:val="000000"/>
                <w:sz w:val="22"/>
              </w:rPr>
            </w:pPr>
            <w:r w:rsidRPr="001B048A">
              <w:rPr>
                <w:rFonts w:eastAsia="Times New Roman"/>
                <w:color w:val="000000"/>
                <w:sz w:val="22"/>
              </w:rPr>
              <w:t>168</w:t>
            </w:r>
          </w:p>
        </w:tc>
        <w:tc>
          <w:tcPr>
            <w:tcW w:w="963" w:type="dxa"/>
            <w:tcBorders>
              <w:top w:val="nil"/>
              <w:left w:val="nil"/>
              <w:bottom w:val="single" w:sz="4" w:space="0" w:color="auto"/>
              <w:right w:val="single" w:sz="4" w:space="0" w:color="auto"/>
            </w:tcBorders>
            <w:shd w:val="clear" w:color="auto" w:fill="auto"/>
            <w:noWrap/>
            <w:vAlign w:val="bottom"/>
            <w:hideMark/>
          </w:tcPr>
          <w:p w14:paraId="01FA673D" w14:textId="77777777" w:rsidR="00171EB7" w:rsidRPr="001B048A" w:rsidRDefault="00171EB7" w:rsidP="00171EB7">
            <w:pPr>
              <w:jc w:val="right"/>
              <w:rPr>
                <w:rFonts w:eastAsia="Times New Roman"/>
                <w:color w:val="000000"/>
                <w:sz w:val="22"/>
              </w:rPr>
            </w:pPr>
            <w:r w:rsidRPr="001B048A">
              <w:rPr>
                <w:rFonts w:eastAsia="Times New Roman"/>
                <w:color w:val="000000"/>
                <w:sz w:val="22"/>
              </w:rPr>
              <w:t>11.2%</w:t>
            </w:r>
          </w:p>
        </w:tc>
      </w:tr>
    </w:tbl>
    <w:p w14:paraId="75CF2B70" w14:textId="77777777" w:rsidR="00D818E5" w:rsidRDefault="00D818E5" w:rsidP="0088374C">
      <w:pPr>
        <w:ind w:left="1440"/>
        <w:rPr>
          <w:sz w:val="20"/>
          <w:szCs w:val="20"/>
        </w:rPr>
      </w:pPr>
    </w:p>
    <w:p w14:paraId="27C25190" w14:textId="77777777" w:rsidR="00D818E5" w:rsidRDefault="00D818E5" w:rsidP="0088374C">
      <w:pPr>
        <w:ind w:left="1440"/>
        <w:rPr>
          <w:sz w:val="20"/>
          <w:szCs w:val="20"/>
        </w:rPr>
      </w:pPr>
    </w:p>
    <w:p w14:paraId="64BFCE1D" w14:textId="77777777" w:rsidR="00D818E5" w:rsidRDefault="00D818E5" w:rsidP="0088374C">
      <w:pPr>
        <w:ind w:left="1440"/>
        <w:rPr>
          <w:sz w:val="20"/>
          <w:szCs w:val="20"/>
        </w:rPr>
      </w:pPr>
    </w:p>
    <w:p w14:paraId="2D530F58" w14:textId="77777777" w:rsidR="00D818E5" w:rsidRDefault="00D818E5" w:rsidP="0088374C">
      <w:pPr>
        <w:ind w:left="1440"/>
        <w:rPr>
          <w:sz w:val="20"/>
          <w:szCs w:val="20"/>
        </w:rPr>
      </w:pPr>
    </w:p>
    <w:p w14:paraId="66807084" w14:textId="77777777" w:rsidR="00A72FA7" w:rsidRPr="003A4621" w:rsidRDefault="002640B4" w:rsidP="0064181E">
      <w:pPr>
        <w:ind w:left="2160" w:firstLine="720"/>
        <w:rPr>
          <w:sz w:val="20"/>
          <w:szCs w:val="20"/>
        </w:rPr>
      </w:pPr>
      <w:r>
        <w:rPr>
          <w:sz w:val="20"/>
          <w:szCs w:val="20"/>
        </w:rPr>
        <w:t>2</w:t>
      </w:r>
      <w:r w:rsidR="00E505C6" w:rsidRPr="003A4621">
        <w:rPr>
          <w:sz w:val="20"/>
          <w:szCs w:val="20"/>
        </w:rPr>
        <w:t>3</w:t>
      </w:r>
      <w:r w:rsidR="0088374C" w:rsidRPr="003A4621">
        <w:rPr>
          <w:sz w:val="20"/>
          <w:szCs w:val="20"/>
        </w:rPr>
        <w:t xml:space="preserve"> of 23 jurisdictions reporting</w:t>
      </w:r>
    </w:p>
    <w:p w14:paraId="68697814" w14:textId="77777777" w:rsidR="0088374C" w:rsidRPr="003A4621" w:rsidRDefault="0088374C" w:rsidP="00335CC1">
      <w:pPr>
        <w:rPr>
          <w:sz w:val="22"/>
        </w:rPr>
      </w:pPr>
    </w:p>
    <w:p w14:paraId="31308855" w14:textId="77777777" w:rsidR="00687E8C" w:rsidRDefault="00770B92" w:rsidP="00687E8C">
      <w:pPr>
        <w:keepNext/>
        <w:jc w:val="both"/>
        <w:rPr>
          <w:sz w:val="22"/>
        </w:rPr>
      </w:pPr>
      <w:r w:rsidRPr="003A4621">
        <w:rPr>
          <w:sz w:val="22"/>
        </w:rPr>
        <w:t>Based on these numbers the retention rate at the end of 201</w:t>
      </w:r>
      <w:r w:rsidR="003A4621" w:rsidRPr="003A4621">
        <w:rPr>
          <w:sz w:val="22"/>
        </w:rPr>
        <w:t>4</w:t>
      </w:r>
      <w:r w:rsidRPr="003A4621">
        <w:rPr>
          <w:sz w:val="22"/>
        </w:rPr>
        <w:t xml:space="preserve"> for </w:t>
      </w:r>
      <w:r w:rsidR="003A4621" w:rsidRPr="003A4621">
        <w:rPr>
          <w:sz w:val="22"/>
        </w:rPr>
        <w:t xml:space="preserve">the cohort of </w:t>
      </w:r>
      <w:r w:rsidRPr="00114A39">
        <w:rPr>
          <w:sz w:val="22"/>
        </w:rPr>
        <w:t>201</w:t>
      </w:r>
      <w:r w:rsidR="001A5B3D">
        <w:rPr>
          <w:sz w:val="22"/>
        </w:rPr>
        <w:t>2</w:t>
      </w:r>
      <w:r w:rsidRPr="003A4621">
        <w:rPr>
          <w:sz w:val="22"/>
        </w:rPr>
        <w:t xml:space="preserve"> admits was </w:t>
      </w:r>
      <w:r w:rsidR="001730AF">
        <w:rPr>
          <w:sz w:val="22"/>
        </w:rPr>
        <w:t>4</w:t>
      </w:r>
      <w:r w:rsidR="007342DB">
        <w:rPr>
          <w:sz w:val="22"/>
        </w:rPr>
        <w:t>8</w:t>
      </w:r>
      <w:r w:rsidR="00DB6819" w:rsidRPr="003A4621">
        <w:rPr>
          <w:sz w:val="22"/>
        </w:rPr>
        <w:t>%</w:t>
      </w:r>
      <w:r w:rsidR="00B45DD9">
        <w:rPr>
          <w:sz w:val="22"/>
        </w:rPr>
        <w:t>.</w:t>
      </w:r>
      <w:r w:rsidR="007342DB">
        <w:rPr>
          <w:sz w:val="22"/>
        </w:rPr>
        <w:t xml:space="preserve">  </w:t>
      </w:r>
      <w:r w:rsidR="00D818E5">
        <w:rPr>
          <w:sz w:val="22"/>
        </w:rPr>
        <w:t>The retention rate include</w:t>
      </w:r>
      <w:r w:rsidR="00FA4405">
        <w:rPr>
          <w:sz w:val="22"/>
        </w:rPr>
        <w:t>s as active</w:t>
      </w:r>
      <w:r w:rsidR="00D818E5">
        <w:rPr>
          <w:sz w:val="22"/>
        </w:rPr>
        <w:t xml:space="preserve"> the 1.9% who had outstanding bench warrants at the end of 2014 in addition to those who graduated on or before December 31, 2014 and those active on that date.</w:t>
      </w:r>
      <w:r w:rsidR="00687E8C" w:rsidRPr="00687E8C">
        <w:rPr>
          <w:sz w:val="22"/>
        </w:rPr>
        <w:t xml:space="preserve"> </w:t>
      </w:r>
    </w:p>
    <w:p w14:paraId="2DEB0264" w14:textId="77777777" w:rsidR="00687E8C" w:rsidRDefault="00687E8C" w:rsidP="00687E8C">
      <w:pPr>
        <w:keepNext/>
        <w:jc w:val="both"/>
        <w:rPr>
          <w:sz w:val="22"/>
        </w:rPr>
      </w:pPr>
    </w:p>
    <w:p w14:paraId="2BC7842E" w14:textId="6300FB4B" w:rsidR="00687E8C" w:rsidRPr="00C868BF" w:rsidRDefault="00687E8C" w:rsidP="00687E8C">
      <w:pPr>
        <w:keepNext/>
        <w:jc w:val="both"/>
        <w:rPr>
          <w:sz w:val="22"/>
        </w:rPr>
      </w:pPr>
      <w:r>
        <w:rPr>
          <w:sz w:val="22"/>
        </w:rPr>
        <w:t>As ad</w:t>
      </w:r>
      <w:r w:rsidR="00690FF6">
        <w:rPr>
          <w:sz w:val="22"/>
        </w:rPr>
        <w:t>ditional annual data is added</w:t>
      </w:r>
      <w:r w:rsidRPr="00B45DD9">
        <w:rPr>
          <w:sz w:val="22"/>
        </w:rPr>
        <w:t xml:space="preserve">, a clearer picture of each year’s activity and year-to-year changes will emerge.  Future reports will also present snapshots, but over time, as participants move through drug court, we will be able to compute meaningful statewide </w:t>
      </w:r>
      <w:r>
        <w:rPr>
          <w:sz w:val="22"/>
        </w:rPr>
        <w:t>admission, termination and</w:t>
      </w:r>
      <w:r w:rsidRPr="00B45DD9">
        <w:rPr>
          <w:sz w:val="22"/>
        </w:rPr>
        <w:t xml:space="preserve"> graduation rates.  Trends and significant changes will become visible.</w:t>
      </w:r>
      <w:r>
        <w:rPr>
          <w:sz w:val="22"/>
        </w:rPr>
        <w:t xml:space="preserve">  </w:t>
      </w:r>
    </w:p>
    <w:p w14:paraId="2026A7FD" w14:textId="77777777" w:rsidR="00B45DD9" w:rsidRDefault="00B45DD9" w:rsidP="00430896">
      <w:pPr>
        <w:jc w:val="both"/>
        <w:rPr>
          <w:sz w:val="22"/>
        </w:rPr>
      </w:pPr>
    </w:p>
    <w:p w14:paraId="06074F22" w14:textId="77777777" w:rsidR="00DB543D" w:rsidRDefault="00687E8C" w:rsidP="001730AF">
      <w:pPr>
        <w:keepNext/>
        <w:rPr>
          <w:b/>
        </w:rPr>
      </w:pPr>
      <w:r>
        <w:rPr>
          <w:noProof/>
        </w:rPr>
        <mc:AlternateContent>
          <mc:Choice Requires="wps">
            <w:drawing>
              <wp:anchor distT="45720" distB="45720" distL="114300" distR="114300" simplePos="0" relativeHeight="251661312" behindDoc="0" locked="0" layoutInCell="1" allowOverlap="1" wp14:anchorId="560480B7" wp14:editId="05CAC5A6">
                <wp:simplePos x="0" y="0"/>
                <wp:positionH relativeFrom="margin">
                  <wp:align>left</wp:align>
                </wp:positionH>
                <wp:positionV relativeFrom="paragraph">
                  <wp:posOffset>215900</wp:posOffset>
                </wp:positionV>
                <wp:extent cx="5777865" cy="5155565"/>
                <wp:effectExtent l="0" t="0" r="1333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5155565"/>
                        </a:xfrm>
                        <a:prstGeom prst="rect">
                          <a:avLst/>
                        </a:prstGeom>
                        <a:solidFill>
                          <a:srgbClr val="FFFFFF"/>
                        </a:solidFill>
                        <a:ln w="9525">
                          <a:solidFill>
                            <a:srgbClr val="000000"/>
                          </a:solidFill>
                          <a:miter lim="800000"/>
                          <a:headEnd/>
                          <a:tailEnd/>
                        </a:ln>
                      </wps:spPr>
                      <wps:txbx>
                        <w:txbxContent>
                          <w:p w14:paraId="378A371A" w14:textId="77777777" w:rsidR="00DB543D" w:rsidRPr="00162C10" w:rsidRDefault="00DB543D" w:rsidP="00DB543D">
                            <w:pPr>
                              <w:spacing w:after="40"/>
                              <w:jc w:val="center"/>
                              <w:rPr>
                                <w:b/>
                                <w:sz w:val="18"/>
                                <w:szCs w:val="18"/>
                              </w:rPr>
                            </w:pPr>
                            <w:r w:rsidRPr="00162C10">
                              <w:rPr>
                                <w:b/>
                                <w:sz w:val="18"/>
                                <w:szCs w:val="18"/>
                              </w:rPr>
                              <w:t>DEFINITIONS</w:t>
                            </w:r>
                          </w:p>
                          <w:p w14:paraId="4C70A29B" w14:textId="42F20D46" w:rsidR="00DB543D" w:rsidRPr="00C21B35" w:rsidRDefault="00DB543D" w:rsidP="00DB543D">
                            <w:pPr>
                              <w:spacing w:after="40"/>
                              <w:rPr>
                                <w:sz w:val="20"/>
                                <w:szCs w:val="20"/>
                              </w:rPr>
                            </w:pPr>
                            <w:r w:rsidRPr="00C21B35">
                              <w:rPr>
                                <w:b/>
                                <w:sz w:val="20"/>
                                <w:szCs w:val="20"/>
                              </w:rPr>
                              <w:t>Participants Started</w:t>
                            </w:r>
                            <w:r w:rsidR="00690FF6">
                              <w:rPr>
                                <w:sz w:val="20"/>
                                <w:szCs w:val="20"/>
                              </w:rPr>
                              <w:t xml:space="preserve"> means </w:t>
                            </w:r>
                            <w:r w:rsidRPr="00C21B35">
                              <w:rPr>
                                <w:sz w:val="20"/>
                                <w:szCs w:val="20"/>
                              </w:rPr>
                              <w:t>the participant started the program including therapy, substance abuse monitoring, and attending review hearings.  At this point most participants will have signed a contract in the form of a Waiver (of the right to trial by jury if the drug court admits participants prior to adjudication) and Agreement.  If the court’s process also requires that the participant opt-in, Participants Started includes only those who have opted-in.</w:t>
                            </w:r>
                          </w:p>
                          <w:p w14:paraId="181AFD10" w14:textId="5EA869AE" w:rsidR="00DB543D" w:rsidRPr="00C21B35" w:rsidRDefault="00DB543D" w:rsidP="00DB543D">
                            <w:pPr>
                              <w:spacing w:after="40"/>
                              <w:rPr>
                                <w:sz w:val="20"/>
                                <w:szCs w:val="20"/>
                              </w:rPr>
                            </w:pPr>
                            <w:r w:rsidRPr="00C21B35">
                              <w:rPr>
                                <w:b/>
                                <w:sz w:val="20"/>
                                <w:szCs w:val="20"/>
                              </w:rPr>
                              <w:t>Opted-Out</w:t>
                            </w:r>
                            <w:r w:rsidR="00690FF6">
                              <w:rPr>
                                <w:sz w:val="20"/>
                                <w:szCs w:val="20"/>
                              </w:rPr>
                              <w:t xml:space="preserve"> means </w:t>
                            </w:r>
                            <w:r w:rsidRPr="00C21B35">
                              <w:rPr>
                                <w:sz w:val="20"/>
                                <w:szCs w:val="20"/>
                              </w:rPr>
                              <w:t>the participant started the program, but under the local court’s policies later opted-out of it.  These policies typically permit the participant to opt-out within a limited period of time after starting and without the loss of rights stipulated to in the Waiver and Agreement.</w:t>
                            </w:r>
                          </w:p>
                          <w:p w14:paraId="5E6AFFBD" w14:textId="52F324C4" w:rsidR="00DB543D" w:rsidRPr="00C21B35" w:rsidRDefault="00DB543D" w:rsidP="00DB543D">
                            <w:pPr>
                              <w:spacing w:after="40"/>
                              <w:rPr>
                                <w:sz w:val="20"/>
                                <w:szCs w:val="20"/>
                              </w:rPr>
                            </w:pPr>
                            <w:r w:rsidRPr="00C21B35">
                              <w:rPr>
                                <w:b/>
                                <w:sz w:val="20"/>
                                <w:szCs w:val="20"/>
                              </w:rPr>
                              <w:t>Admission Denied</w:t>
                            </w:r>
                            <w:r w:rsidR="00690FF6">
                              <w:rPr>
                                <w:sz w:val="20"/>
                                <w:szCs w:val="20"/>
                              </w:rPr>
                              <w:t xml:space="preserve"> means </w:t>
                            </w:r>
                            <w:r w:rsidRPr="00C21B35">
                              <w:rPr>
                                <w:sz w:val="20"/>
                                <w:szCs w:val="20"/>
                              </w:rPr>
                              <w:t xml:space="preserve">the court permitted the participant to start the program on a trial basis, and later, based on observation of the participant, decided to deny formal admission and to end participation. </w:t>
                            </w:r>
                          </w:p>
                          <w:p w14:paraId="49E1E6F4" w14:textId="3D61C4A4" w:rsidR="00DB543D" w:rsidRPr="007C66F6" w:rsidRDefault="00DB543D" w:rsidP="00DB543D">
                            <w:pPr>
                              <w:rPr>
                                <w:sz w:val="20"/>
                                <w:szCs w:val="20"/>
                              </w:rPr>
                            </w:pPr>
                            <w:r w:rsidRPr="00C21B35">
                              <w:rPr>
                                <w:b/>
                                <w:sz w:val="20"/>
                                <w:szCs w:val="20"/>
                              </w:rPr>
                              <w:t>Withdrew</w:t>
                            </w:r>
                            <w:r w:rsidR="00690FF6">
                              <w:rPr>
                                <w:sz w:val="20"/>
                                <w:szCs w:val="20"/>
                              </w:rPr>
                              <w:t xml:space="preserve"> means </w:t>
                            </w:r>
                            <w:r w:rsidRPr="00C21B35">
                              <w:rPr>
                                <w:sz w:val="20"/>
                                <w:szCs w:val="20"/>
                              </w:rPr>
                              <w:t xml:space="preserve">the participant voluntarily withdrew from the program after starting and after any opt-out period. </w:t>
                            </w:r>
                          </w:p>
                          <w:p w14:paraId="7A65EAB1" w14:textId="77777777" w:rsidR="00DB543D" w:rsidRPr="007C66F6" w:rsidRDefault="00DB543D" w:rsidP="00DB543D">
                            <w:pPr>
                              <w:pStyle w:val="ListParagraph"/>
                              <w:numPr>
                                <w:ilvl w:val="0"/>
                                <w:numId w:val="5"/>
                              </w:numPr>
                              <w:ind w:left="720"/>
                              <w:rPr>
                                <w:sz w:val="20"/>
                                <w:szCs w:val="20"/>
                              </w:rPr>
                            </w:pPr>
                            <w:r w:rsidRPr="007C66F6">
                              <w:rPr>
                                <w:sz w:val="20"/>
                                <w:szCs w:val="20"/>
                              </w:rPr>
                              <w:t xml:space="preserve">If the court </w:t>
                            </w:r>
                            <w:r w:rsidRPr="007C66F6">
                              <w:rPr>
                                <w:sz w:val="20"/>
                                <w:szCs w:val="20"/>
                                <w:u w:val="single"/>
                              </w:rPr>
                              <w:t>does not have</w:t>
                            </w:r>
                            <w:r w:rsidRPr="007C66F6">
                              <w:rPr>
                                <w:sz w:val="20"/>
                                <w:szCs w:val="20"/>
                              </w:rPr>
                              <w:t xml:space="preserve"> a formal opt-in or opt-out period, indicate</w:t>
                            </w:r>
                            <w:r>
                              <w:rPr>
                                <w:sz w:val="20"/>
                                <w:szCs w:val="20"/>
                              </w:rPr>
                              <w:t>s</w:t>
                            </w:r>
                            <w:r w:rsidRPr="007C66F6">
                              <w:rPr>
                                <w:sz w:val="20"/>
                                <w:szCs w:val="20"/>
                              </w:rPr>
                              <w:t xml:space="preserve"> that participant voluntarily withdrew after starting the program.  </w:t>
                            </w:r>
                          </w:p>
                          <w:p w14:paraId="32E97027" w14:textId="77777777" w:rsidR="00DB543D" w:rsidRPr="007C66F6" w:rsidRDefault="00DB543D" w:rsidP="00DB543D">
                            <w:pPr>
                              <w:pStyle w:val="ListParagraph"/>
                              <w:numPr>
                                <w:ilvl w:val="0"/>
                                <w:numId w:val="5"/>
                              </w:numPr>
                              <w:ind w:left="720"/>
                              <w:rPr>
                                <w:sz w:val="20"/>
                                <w:szCs w:val="20"/>
                              </w:rPr>
                            </w:pPr>
                            <w:r w:rsidRPr="007C66F6">
                              <w:rPr>
                                <w:sz w:val="20"/>
                                <w:szCs w:val="20"/>
                              </w:rPr>
                              <w:t xml:space="preserve">If the court </w:t>
                            </w:r>
                            <w:r w:rsidRPr="007C66F6">
                              <w:rPr>
                                <w:sz w:val="20"/>
                                <w:szCs w:val="20"/>
                                <w:u w:val="single"/>
                              </w:rPr>
                              <w:t>does have</w:t>
                            </w:r>
                            <w:r w:rsidRPr="007C66F6">
                              <w:rPr>
                                <w:sz w:val="20"/>
                                <w:szCs w:val="20"/>
                              </w:rPr>
                              <w:t xml:space="preserve"> a formal opt-in or opt-out period, indicate</w:t>
                            </w:r>
                            <w:r>
                              <w:rPr>
                                <w:sz w:val="20"/>
                                <w:szCs w:val="20"/>
                              </w:rPr>
                              <w:t>s</w:t>
                            </w:r>
                            <w:r w:rsidRPr="007C66F6">
                              <w:rPr>
                                <w:sz w:val="20"/>
                                <w:szCs w:val="20"/>
                              </w:rPr>
                              <w:t xml:space="preserve"> that the participant voluntarily withdrew after opting-in or after the expiration of the opt-out period.  </w:t>
                            </w:r>
                          </w:p>
                          <w:p w14:paraId="408058B7" w14:textId="77777777" w:rsidR="00DB543D" w:rsidRPr="00C21B35" w:rsidRDefault="00DB543D" w:rsidP="00DB543D">
                            <w:pPr>
                              <w:spacing w:after="40"/>
                              <w:rPr>
                                <w:sz w:val="20"/>
                                <w:szCs w:val="20"/>
                              </w:rPr>
                            </w:pPr>
                            <w:r>
                              <w:rPr>
                                <w:sz w:val="20"/>
                                <w:szCs w:val="20"/>
                              </w:rPr>
                              <w:t>Applies</w:t>
                            </w:r>
                            <w:r w:rsidRPr="007C66F6">
                              <w:rPr>
                                <w:sz w:val="20"/>
                                <w:szCs w:val="20"/>
                              </w:rPr>
                              <w:t xml:space="preserve"> </w:t>
                            </w:r>
                            <w:r w:rsidRPr="007C66F6">
                              <w:rPr>
                                <w:sz w:val="20"/>
                                <w:szCs w:val="20"/>
                                <w:u w:val="single"/>
                              </w:rPr>
                              <w:t>only</w:t>
                            </w:r>
                            <w:r w:rsidRPr="007C66F6">
                              <w:rPr>
                                <w:sz w:val="20"/>
                                <w:szCs w:val="20"/>
                              </w:rPr>
                              <w:t xml:space="preserve"> if the court allows participants to voluntarily withdraw from the program regardless of any provision to opt-in or opt-out.  </w:t>
                            </w:r>
                          </w:p>
                          <w:p w14:paraId="16D84870" w14:textId="215777AD" w:rsidR="00DB543D" w:rsidRPr="00C21B35" w:rsidRDefault="00DB543D" w:rsidP="00DB543D">
                            <w:pPr>
                              <w:spacing w:after="40"/>
                              <w:rPr>
                                <w:sz w:val="20"/>
                                <w:szCs w:val="20"/>
                              </w:rPr>
                            </w:pPr>
                            <w:r w:rsidRPr="00C21B35">
                              <w:rPr>
                                <w:b/>
                                <w:sz w:val="20"/>
                                <w:szCs w:val="20"/>
                              </w:rPr>
                              <w:t>Terminated</w:t>
                            </w:r>
                            <w:r w:rsidR="00690FF6">
                              <w:rPr>
                                <w:sz w:val="20"/>
                                <w:szCs w:val="20"/>
                              </w:rPr>
                              <w:t xml:space="preserve"> means </w:t>
                            </w:r>
                            <w:r w:rsidRPr="00C21B35">
                              <w:rPr>
                                <w:sz w:val="20"/>
                                <w:szCs w:val="20"/>
                              </w:rPr>
                              <w:t>the court formally terminated the participant from the program.  The decision to terminate can be based on the participant’s failure to comply with drug court requirements or on the participant’s failur</w:t>
                            </w:r>
                            <w:r w:rsidR="00F0753F">
                              <w:rPr>
                                <w:sz w:val="20"/>
                                <w:szCs w:val="20"/>
                              </w:rPr>
                              <w:t>e in the treatment program.  A</w:t>
                            </w:r>
                            <w:r w:rsidRPr="00C21B35">
                              <w:rPr>
                                <w:sz w:val="20"/>
                                <w:szCs w:val="20"/>
                              </w:rPr>
                              <w:t xml:space="preserve"> participant who is terminated is subject to the loss of rights stipulated to in the Waiver and Agreement.</w:t>
                            </w:r>
                          </w:p>
                          <w:p w14:paraId="025FB002" w14:textId="3DF5AA7D" w:rsidR="00DB543D" w:rsidRPr="00C21B35" w:rsidRDefault="00DB543D" w:rsidP="00DB543D">
                            <w:pPr>
                              <w:spacing w:after="40"/>
                              <w:rPr>
                                <w:sz w:val="20"/>
                                <w:szCs w:val="20"/>
                              </w:rPr>
                            </w:pPr>
                            <w:r w:rsidRPr="00C21B35">
                              <w:rPr>
                                <w:b/>
                                <w:sz w:val="20"/>
                                <w:szCs w:val="20"/>
                              </w:rPr>
                              <w:t>Graduated</w:t>
                            </w:r>
                            <w:r w:rsidR="00690FF6">
                              <w:rPr>
                                <w:sz w:val="20"/>
                                <w:szCs w:val="20"/>
                              </w:rPr>
                              <w:t xml:space="preserve"> means </w:t>
                            </w:r>
                            <w:r w:rsidRPr="00C21B35">
                              <w:rPr>
                                <w:sz w:val="20"/>
                                <w:szCs w:val="20"/>
                              </w:rPr>
                              <w:t>the participant completed the program’s requirements.  Typically there is a graduation ceremony which, in the case of a pre-adjudication court, includes the judge signing the court order dismissing the charges.</w:t>
                            </w:r>
                          </w:p>
                          <w:p w14:paraId="2BEFDC7F" w14:textId="7E7CB627" w:rsidR="00DB543D" w:rsidRPr="00C21B35" w:rsidRDefault="00DB543D" w:rsidP="00DB543D">
                            <w:pPr>
                              <w:spacing w:after="40"/>
                              <w:rPr>
                                <w:sz w:val="20"/>
                                <w:szCs w:val="20"/>
                              </w:rPr>
                            </w:pPr>
                            <w:r w:rsidRPr="00C21B35">
                              <w:rPr>
                                <w:b/>
                                <w:sz w:val="20"/>
                                <w:szCs w:val="20"/>
                              </w:rPr>
                              <w:t>Deceased</w:t>
                            </w:r>
                            <w:r w:rsidR="00690FF6">
                              <w:rPr>
                                <w:sz w:val="20"/>
                                <w:szCs w:val="20"/>
                              </w:rPr>
                              <w:t xml:space="preserve"> means </w:t>
                            </w:r>
                            <w:r w:rsidRPr="00C21B35">
                              <w:rPr>
                                <w:sz w:val="20"/>
                                <w:szCs w:val="20"/>
                              </w:rPr>
                              <w:t>the participant died while an active participant in the program.</w:t>
                            </w:r>
                          </w:p>
                          <w:p w14:paraId="2BEACE94" w14:textId="6A12C342" w:rsidR="00DB543D" w:rsidRPr="00C21B35" w:rsidRDefault="00DB543D" w:rsidP="00DB543D">
                            <w:pPr>
                              <w:spacing w:after="40"/>
                              <w:rPr>
                                <w:sz w:val="20"/>
                                <w:szCs w:val="20"/>
                              </w:rPr>
                            </w:pPr>
                            <w:r w:rsidRPr="00C21B35">
                              <w:rPr>
                                <w:b/>
                                <w:sz w:val="20"/>
                                <w:szCs w:val="20"/>
                              </w:rPr>
                              <w:t>Bench Warrant Outstanding</w:t>
                            </w:r>
                            <w:r w:rsidR="00690FF6">
                              <w:rPr>
                                <w:sz w:val="20"/>
                                <w:szCs w:val="20"/>
                              </w:rPr>
                              <w:t xml:space="preserve"> means </w:t>
                            </w:r>
                            <w:r w:rsidRPr="00C21B35">
                              <w:rPr>
                                <w:sz w:val="20"/>
                                <w:szCs w:val="20"/>
                              </w:rPr>
                              <w:t>the participant failed to meet program requirements and the court issued a bench warrant which was active at the end of the reporting period.  Most bench warrants are issued when a participant fails to appear at a review hearing.</w:t>
                            </w:r>
                          </w:p>
                          <w:p w14:paraId="6A03D775" w14:textId="757EE172" w:rsidR="00DB543D" w:rsidRDefault="00DB543D" w:rsidP="00DB543D">
                            <w:pPr>
                              <w:spacing w:after="40"/>
                            </w:pPr>
                            <w:r w:rsidRPr="00C21B35">
                              <w:rPr>
                                <w:b/>
                                <w:sz w:val="20"/>
                                <w:szCs w:val="20"/>
                              </w:rPr>
                              <w:t>Active</w:t>
                            </w:r>
                            <w:r w:rsidR="00690FF6">
                              <w:rPr>
                                <w:sz w:val="20"/>
                                <w:szCs w:val="20"/>
                              </w:rPr>
                              <w:t xml:space="preserve"> means</w:t>
                            </w:r>
                            <w:r w:rsidRPr="00C21B35">
                              <w:rPr>
                                <w:sz w:val="20"/>
                                <w:szCs w:val="20"/>
                              </w:rPr>
                              <w:t xml:space="preserve"> the participant was active at the end of the reporting period.  If the participant had an outstanding bench warrant on that date, the participant is not counted as 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480B7" id="_x0000_t202" coordsize="21600,21600" o:spt="202" path="m,l,21600r21600,l21600,xe">
                <v:stroke joinstyle="miter"/>
                <v:path gradientshapeok="t" o:connecttype="rect"/>
              </v:shapetype>
              <v:shape id="Text Box 2" o:spid="_x0000_s1026" type="#_x0000_t202" style="position:absolute;margin-left:0;margin-top:17pt;width:454.95pt;height:405.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">
                <v:textbox>
                  <w:txbxContent>
                    <w:p w14:paraId="378A371A" w14:textId="77777777" w:rsidR="00DB543D" w:rsidRPr="00162C10" w:rsidRDefault="00DB543D" w:rsidP="00DB543D">
                      <w:pPr>
                        <w:spacing w:after="40"/>
                        <w:jc w:val="center"/>
                        <w:rPr>
                          <w:b/>
                          <w:sz w:val="18"/>
                          <w:szCs w:val="18"/>
                        </w:rPr>
                      </w:pPr>
                      <w:r w:rsidRPr="00162C10">
                        <w:rPr>
                          <w:b/>
                          <w:sz w:val="18"/>
                          <w:szCs w:val="18"/>
                        </w:rPr>
                        <w:t>DEFINITIONS</w:t>
                      </w:r>
                    </w:p>
                    <w:p w14:paraId="4C70A29B" w14:textId="42F20D46" w:rsidR="00DB543D" w:rsidRPr="00C21B35" w:rsidRDefault="00DB543D" w:rsidP="00DB543D">
                      <w:pPr>
                        <w:spacing w:after="40"/>
                        <w:rPr>
                          <w:sz w:val="20"/>
                          <w:szCs w:val="20"/>
                        </w:rPr>
                      </w:pPr>
                      <w:r w:rsidRPr="00C21B35">
                        <w:rPr>
                          <w:b/>
                          <w:sz w:val="20"/>
                          <w:szCs w:val="20"/>
                        </w:rPr>
                        <w:t>Participants Started</w:t>
                      </w:r>
                      <w:r w:rsidR="00690FF6">
                        <w:rPr>
                          <w:sz w:val="20"/>
                          <w:szCs w:val="20"/>
                        </w:rPr>
                        <w:t xml:space="preserve"> means </w:t>
                      </w:r>
                      <w:r w:rsidRPr="00C21B35">
                        <w:rPr>
                          <w:sz w:val="20"/>
                          <w:szCs w:val="20"/>
                        </w:rPr>
                        <w:t>the participant started the program including therapy, substance abuse monitoring, and attending review hearings.  At this point most participants will have signed a contract in the form of a Waiver (of the right to trial by jury if the drug court admits participants prior to adjudication) and Agreement.  If the court’s process also requires that the participant opt-in, Participants Started includes only those who have opted-in.</w:t>
                      </w:r>
                    </w:p>
                    <w:p w14:paraId="181AFD10" w14:textId="5EA869AE" w:rsidR="00DB543D" w:rsidRPr="00C21B35" w:rsidRDefault="00DB543D" w:rsidP="00DB543D">
                      <w:pPr>
                        <w:spacing w:after="40"/>
                        <w:rPr>
                          <w:sz w:val="20"/>
                          <w:szCs w:val="20"/>
                        </w:rPr>
                      </w:pPr>
                      <w:r w:rsidRPr="00C21B35">
                        <w:rPr>
                          <w:b/>
                          <w:sz w:val="20"/>
                          <w:szCs w:val="20"/>
                        </w:rPr>
                        <w:t>Opted-Out</w:t>
                      </w:r>
                      <w:r w:rsidR="00690FF6">
                        <w:rPr>
                          <w:sz w:val="20"/>
                          <w:szCs w:val="20"/>
                        </w:rPr>
                        <w:t xml:space="preserve"> means </w:t>
                      </w:r>
                      <w:r w:rsidRPr="00C21B35">
                        <w:rPr>
                          <w:sz w:val="20"/>
                          <w:szCs w:val="20"/>
                        </w:rPr>
                        <w:t>the participant started the program, but under the local court’s policies later opted-out of it.  These policies typically permit the participant to opt-out within a limited period of time after starting and without the loss of rights stipulated to in the Waiver and Agreement.</w:t>
                      </w:r>
                    </w:p>
                    <w:p w14:paraId="5E6AFFBD" w14:textId="52F324C4" w:rsidR="00DB543D" w:rsidRPr="00C21B35" w:rsidRDefault="00DB543D" w:rsidP="00DB543D">
                      <w:pPr>
                        <w:spacing w:after="40"/>
                        <w:rPr>
                          <w:sz w:val="20"/>
                          <w:szCs w:val="20"/>
                        </w:rPr>
                      </w:pPr>
                      <w:r w:rsidRPr="00C21B35">
                        <w:rPr>
                          <w:b/>
                          <w:sz w:val="20"/>
                          <w:szCs w:val="20"/>
                        </w:rPr>
                        <w:t>Admission Denied</w:t>
                      </w:r>
                      <w:r w:rsidR="00690FF6">
                        <w:rPr>
                          <w:sz w:val="20"/>
                          <w:szCs w:val="20"/>
                        </w:rPr>
                        <w:t xml:space="preserve"> means </w:t>
                      </w:r>
                      <w:r w:rsidRPr="00C21B35">
                        <w:rPr>
                          <w:sz w:val="20"/>
                          <w:szCs w:val="20"/>
                        </w:rPr>
                        <w:t xml:space="preserve">the court permitted the participant to start the program on a trial basis, and later, based on observation of the participant, decided to deny formal admission and to end participation. </w:t>
                      </w:r>
                    </w:p>
                    <w:p w14:paraId="49E1E6F4" w14:textId="3D61C4A4" w:rsidR="00DB543D" w:rsidRPr="007C66F6" w:rsidRDefault="00DB543D" w:rsidP="00DB543D">
                      <w:pPr>
                        <w:rPr>
                          <w:sz w:val="20"/>
                          <w:szCs w:val="20"/>
                        </w:rPr>
                      </w:pPr>
                      <w:r w:rsidRPr="00C21B35">
                        <w:rPr>
                          <w:b/>
                          <w:sz w:val="20"/>
                          <w:szCs w:val="20"/>
                        </w:rPr>
                        <w:t>Withdrew</w:t>
                      </w:r>
                      <w:r w:rsidR="00690FF6">
                        <w:rPr>
                          <w:sz w:val="20"/>
                          <w:szCs w:val="20"/>
                        </w:rPr>
                        <w:t xml:space="preserve"> means </w:t>
                      </w:r>
                      <w:r w:rsidRPr="00C21B35">
                        <w:rPr>
                          <w:sz w:val="20"/>
                          <w:szCs w:val="20"/>
                        </w:rPr>
                        <w:t xml:space="preserve">the participant voluntarily withdrew from the program after starting and after any opt-out period. </w:t>
                      </w:r>
                    </w:p>
                    <w:p w14:paraId="7A65EAB1" w14:textId="77777777" w:rsidR="00DB543D" w:rsidRPr="007C66F6" w:rsidRDefault="00DB543D" w:rsidP="00DB543D">
                      <w:pPr>
                        <w:pStyle w:val="ListParagraph"/>
                        <w:numPr>
                          <w:ilvl w:val="0"/>
                          <w:numId w:val="5"/>
                        </w:numPr>
                        <w:ind w:left="720"/>
                        <w:rPr>
                          <w:sz w:val="20"/>
                          <w:szCs w:val="20"/>
                        </w:rPr>
                      </w:pPr>
                      <w:r w:rsidRPr="007C66F6">
                        <w:rPr>
                          <w:sz w:val="20"/>
                          <w:szCs w:val="20"/>
                        </w:rPr>
                        <w:t xml:space="preserve">If the court </w:t>
                      </w:r>
                      <w:r w:rsidRPr="007C66F6">
                        <w:rPr>
                          <w:sz w:val="20"/>
                          <w:szCs w:val="20"/>
                          <w:u w:val="single"/>
                        </w:rPr>
                        <w:t>does not have</w:t>
                      </w:r>
                      <w:r w:rsidRPr="007C66F6">
                        <w:rPr>
                          <w:sz w:val="20"/>
                          <w:szCs w:val="20"/>
                        </w:rPr>
                        <w:t xml:space="preserve"> a formal opt-in or opt-out period, indicate</w:t>
                      </w:r>
                      <w:r>
                        <w:rPr>
                          <w:sz w:val="20"/>
                          <w:szCs w:val="20"/>
                        </w:rPr>
                        <w:t>s</w:t>
                      </w:r>
                      <w:r w:rsidRPr="007C66F6">
                        <w:rPr>
                          <w:sz w:val="20"/>
                          <w:szCs w:val="20"/>
                        </w:rPr>
                        <w:t xml:space="preserve"> that participant voluntarily withdrew after starting the program.  </w:t>
                      </w:r>
                    </w:p>
                    <w:p w14:paraId="32E97027" w14:textId="77777777" w:rsidR="00DB543D" w:rsidRPr="007C66F6" w:rsidRDefault="00DB543D" w:rsidP="00DB543D">
                      <w:pPr>
                        <w:pStyle w:val="ListParagraph"/>
                        <w:numPr>
                          <w:ilvl w:val="0"/>
                          <w:numId w:val="5"/>
                        </w:numPr>
                        <w:ind w:left="720"/>
                        <w:rPr>
                          <w:sz w:val="20"/>
                          <w:szCs w:val="20"/>
                        </w:rPr>
                      </w:pPr>
                      <w:r w:rsidRPr="007C66F6">
                        <w:rPr>
                          <w:sz w:val="20"/>
                          <w:szCs w:val="20"/>
                        </w:rPr>
                        <w:t xml:space="preserve">If the court </w:t>
                      </w:r>
                      <w:r w:rsidRPr="007C66F6">
                        <w:rPr>
                          <w:sz w:val="20"/>
                          <w:szCs w:val="20"/>
                          <w:u w:val="single"/>
                        </w:rPr>
                        <w:t>does have</w:t>
                      </w:r>
                      <w:r w:rsidRPr="007C66F6">
                        <w:rPr>
                          <w:sz w:val="20"/>
                          <w:szCs w:val="20"/>
                        </w:rPr>
                        <w:t xml:space="preserve"> a formal opt-in or opt-out period, indicate</w:t>
                      </w:r>
                      <w:r>
                        <w:rPr>
                          <w:sz w:val="20"/>
                          <w:szCs w:val="20"/>
                        </w:rPr>
                        <w:t>s</w:t>
                      </w:r>
                      <w:r w:rsidRPr="007C66F6">
                        <w:rPr>
                          <w:sz w:val="20"/>
                          <w:szCs w:val="20"/>
                        </w:rPr>
                        <w:t xml:space="preserve"> that the participant voluntarily withdrew after opting-in or after the expiration of the opt-out period.  </w:t>
                      </w:r>
                    </w:p>
                    <w:p w14:paraId="408058B7" w14:textId="77777777" w:rsidR="00DB543D" w:rsidRPr="00C21B35" w:rsidRDefault="00DB543D" w:rsidP="00DB543D">
                      <w:pPr>
                        <w:spacing w:after="40"/>
                        <w:rPr>
                          <w:sz w:val="20"/>
                          <w:szCs w:val="20"/>
                        </w:rPr>
                      </w:pPr>
                      <w:r>
                        <w:rPr>
                          <w:sz w:val="20"/>
                          <w:szCs w:val="20"/>
                        </w:rPr>
                        <w:t>Applies</w:t>
                      </w:r>
                      <w:r w:rsidRPr="007C66F6">
                        <w:rPr>
                          <w:sz w:val="20"/>
                          <w:szCs w:val="20"/>
                        </w:rPr>
                        <w:t xml:space="preserve"> </w:t>
                      </w:r>
                      <w:r w:rsidRPr="007C66F6">
                        <w:rPr>
                          <w:sz w:val="20"/>
                          <w:szCs w:val="20"/>
                          <w:u w:val="single"/>
                        </w:rPr>
                        <w:t>only</w:t>
                      </w:r>
                      <w:r w:rsidRPr="007C66F6">
                        <w:rPr>
                          <w:sz w:val="20"/>
                          <w:szCs w:val="20"/>
                        </w:rPr>
                        <w:t xml:space="preserve"> if the court allows participants to voluntarily withdraw from the program regardless of any provision to opt-in or opt-out.  </w:t>
                      </w:r>
                    </w:p>
                    <w:p w14:paraId="16D84870" w14:textId="215777AD" w:rsidR="00DB543D" w:rsidRPr="00C21B35" w:rsidRDefault="00DB543D" w:rsidP="00DB543D">
                      <w:pPr>
                        <w:spacing w:after="40"/>
                        <w:rPr>
                          <w:sz w:val="20"/>
                          <w:szCs w:val="20"/>
                        </w:rPr>
                      </w:pPr>
                      <w:r w:rsidRPr="00C21B35">
                        <w:rPr>
                          <w:b/>
                          <w:sz w:val="20"/>
                          <w:szCs w:val="20"/>
                        </w:rPr>
                        <w:t>Terminated</w:t>
                      </w:r>
                      <w:r w:rsidR="00690FF6">
                        <w:rPr>
                          <w:sz w:val="20"/>
                          <w:szCs w:val="20"/>
                        </w:rPr>
                        <w:t xml:space="preserve"> means </w:t>
                      </w:r>
                      <w:r w:rsidRPr="00C21B35">
                        <w:rPr>
                          <w:sz w:val="20"/>
                          <w:szCs w:val="20"/>
                        </w:rPr>
                        <w:t>the court formally terminated the participant from the program.  The decision to terminate can be based on the participant’s failure to comply with drug court requirements or on the participant’s failur</w:t>
                      </w:r>
                      <w:r w:rsidR="00F0753F">
                        <w:rPr>
                          <w:sz w:val="20"/>
                          <w:szCs w:val="20"/>
                        </w:rPr>
                        <w:t>e in the treatment program.  A</w:t>
                      </w:r>
                      <w:r w:rsidRPr="00C21B35">
                        <w:rPr>
                          <w:sz w:val="20"/>
                          <w:szCs w:val="20"/>
                        </w:rPr>
                        <w:t xml:space="preserve"> participant who is terminated is subject to the loss of rights stipulated to in the Waiver and Agreement.</w:t>
                      </w:r>
                    </w:p>
                    <w:p w14:paraId="025FB002" w14:textId="3DF5AA7D" w:rsidR="00DB543D" w:rsidRPr="00C21B35" w:rsidRDefault="00DB543D" w:rsidP="00DB543D">
                      <w:pPr>
                        <w:spacing w:after="40"/>
                        <w:rPr>
                          <w:sz w:val="20"/>
                          <w:szCs w:val="20"/>
                        </w:rPr>
                      </w:pPr>
                      <w:r w:rsidRPr="00C21B35">
                        <w:rPr>
                          <w:b/>
                          <w:sz w:val="20"/>
                          <w:szCs w:val="20"/>
                        </w:rPr>
                        <w:t>Graduated</w:t>
                      </w:r>
                      <w:r w:rsidR="00690FF6">
                        <w:rPr>
                          <w:sz w:val="20"/>
                          <w:szCs w:val="20"/>
                        </w:rPr>
                        <w:t xml:space="preserve"> means </w:t>
                      </w:r>
                      <w:r w:rsidRPr="00C21B35">
                        <w:rPr>
                          <w:sz w:val="20"/>
                          <w:szCs w:val="20"/>
                        </w:rPr>
                        <w:t>the participant completed the program’s requirements.  Typically there is a graduation ceremony which, in the case of a pre-adjudication court, includes the judge signing the court order dismissing the charges.</w:t>
                      </w:r>
                    </w:p>
                    <w:p w14:paraId="2BEFDC7F" w14:textId="7E7CB627" w:rsidR="00DB543D" w:rsidRPr="00C21B35" w:rsidRDefault="00DB543D" w:rsidP="00DB543D">
                      <w:pPr>
                        <w:spacing w:after="40"/>
                        <w:rPr>
                          <w:sz w:val="20"/>
                          <w:szCs w:val="20"/>
                        </w:rPr>
                      </w:pPr>
                      <w:r w:rsidRPr="00C21B35">
                        <w:rPr>
                          <w:b/>
                          <w:sz w:val="20"/>
                          <w:szCs w:val="20"/>
                        </w:rPr>
                        <w:t>Deceased</w:t>
                      </w:r>
                      <w:r w:rsidR="00690FF6">
                        <w:rPr>
                          <w:sz w:val="20"/>
                          <w:szCs w:val="20"/>
                        </w:rPr>
                        <w:t xml:space="preserve"> means </w:t>
                      </w:r>
                      <w:r w:rsidRPr="00C21B35">
                        <w:rPr>
                          <w:sz w:val="20"/>
                          <w:szCs w:val="20"/>
                        </w:rPr>
                        <w:t>the participant died while an active participant in the program.</w:t>
                      </w:r>
                    </w:p>
                    <w:p w14:paraId="2BEACE94" w14:textId="6A12C342" w:rsidR="00DB543D" w:rsidRPr="00C21B35" w:rsidRDefault="00DB543D" w:rsidP="00DB543D">
                      <w:pPr>
                        <w:spacing w:after="40"/>
                        <w:rPr>
                          <w:sz w:val="20"/>
                          <w:szCs w:val="20"/>
                        </w:rPr>
                      </w:pPr>
                      <w:r w:rsidRPr="00C21B35">
                        <w:rPr>
                          <w:b/>
                          <w:sz w:val="20"/>
                          <w:szCs w:val="20"/>
                        </w:rPr>
                        <w:t>Bench Warrant Outstanding</w:t>
                      </w:r>
                      <w:r w:rsidR="00690FF6">
                        <w:rPr>
                          <w:sz w:val="20"/>
                          <w:szCs w:val="20"/>
                        </w:rPr>
                        <w:t xml:space="preserve"> means </w:t>
                      </w:r>
                      <w:r w:rsidRPr="00C21B35">
                        <w:rPr>
                          <w:sz w:val="20"/>
                          <w:szCs w:val="20"/>
                        </w:rPr>
                        <w:t>the participant failed to meet program requirements and the court issued a bench warrant which was active at the end of the reporting period.  Most bench warrants are issued when a participant fails to appear at a review hearing.</w:t>
                      </w:r>
                    </w:p>
                    <w:p w14:paraId="6A03D775" w14:textId="757EE172" w:rsidR="00DB543D" w:rsidRDefault="00DB543D" w:rsidP="00DB543D">
                      <w:pPr>
                        <w:spacing w:after="40"/>
                      </w:pPr>
                      <w:r w:rsidRPr="00C21B35">
                        <w:rPr>
                          <w:b/>
                          <w:sz w:val="20"/>
                          <w:szCs w:val="20"/>
                        </w:rPr>
                        <w:t>Active</w:t>
                      </w:r>
                      <w:r w:rsidR="00690FF6">
                        <w:rPr>
                          <w:sz w:val="20"/>
                          <w:szCs w:val="20"/>
                        </w:rPr>
                        <w:t xml:space="preserve"> means</w:t>
                      </w:r>
                      <w:r w:rsidRPr="00C21B35">
                        <w:rPr>
                          <w:sz w:val="20"/>
                          <w:szCs w:val="20"/>
                        </w:rPr>
                        <w:t xml:space="preserve"> the participant was active at the end of the reporting period.  If the participant had an outstanding bench warrant on that date, the participant is not counted as active.</w:t>
                      </w:r>
                    </w:p>
                  </w:txbxContent>
                </v:textbox>
                <w10:wrap type="square" anchorx="margin"/>
              </v:shape>
            </w:pict>
          </mc:Fallback>
        </mc:AlternateContent>
      </w:r>
    </w:p>
    <w:p w14:paraId="617383FF" w14:textId="77777777" w:rsidR="00DB543D" w:rsidRDefault="00DB543D" w:rsidP="001730AF">
      <w:pPr>
        <w:keepNext/>
        <w:rPr>
          <w:b/>
        </w:rPr>
      </w:pPr>
    </w:p>
    <w:p w14:paraId="279BB3C4" w14:textId="77777777" w:rsidR="0021513F" w:rsidRPr="0021513F" w:rsidRDefault="0021513F" w:rsidP="001730AF">
      <w:pPr>
        <w:keepNext/>
        <w:rPr>
          <w:b/>
        </w:rPr>
      </w:pPr>
      <w:r w:rsidRPr="0021513F">
        <w:rPr>
          <w:b/>
        </w:rPr>
        <w:t>How Statewide Drug Court Data Can Be Used</w:t>
      </w:r>
    </w:p>
    <w:p w14:paraId="1B4C2FC9" w14:textId="77777777" w:rsidR="0021513F" w:rsidRDefault="0021513F" w:rsidP="00430896">
      <w:pPr>
        <w:jc w:val="both"/>
        <w:rPr>
          <w:sz w:val="22"/>
        </w:rPr>
      </w:pPr>
      <w:r w:rsidRPr="0021513F">
        <w:rPr>
          <w:sz w:val="22"/>
          <w:u w:val="single"/>
        </w:rPr>
        <w:t>Policy Makers:</w:t>
      </w:r>
      <w:r w:rsidRPr="00734A21">
        <w:rPr>
          <w:sz w:val="22"/>
        </w:rPr>
        <w:t xml:space="preserve">  </w:t>
      </w:r>
      <w:r>
        <w:rPr>
          <w:sz w:val="22"/>
        </w:rPr>
        <w:t>Policy makers will get a comprehensive</w:t>
      </w:r>
      <w:r w:rsidR="000E0200">
        <w:rPr>
          <w:sz w:val="22"/>
        </w:rPr>
        <w:t>, state-level</w:t>
      </w:r>
      <w:r>
        <w:rPr>
          <w:sz w:val="22"/>
        </w:rPr>
        <w:t xml:space="preserve"> picture of activity in the drug courts.  They will know how many people the courts are serving across the state.  They will be able to see how Washington’s experience compares with other states</w:t>
      </w:r>
      <w:r w:rsidR="00630EDE" w:rsidRPr="00630EDE">
        <w:rPr>
          <w:sz w:val="22"/>
        </w:rPr>
        <w:t xml:space="preserve"> </w:t>
      </w:r>
      <w:r w:rsidR="00630EDE">
        <w:rPr>
          <w:sz w:val="22"/>
        </w:rPr>
        <w:t>by comparing our data with other available data</w:t>
      </w:r>
      <w:r>
        <w:rPr>
          <w:sz w:val="22"/>
        </w:rPr>
        <w:t xml:space="preserve">.  </w:t>
      </w:r>
    </w:p>
    <w:p w14:paraId="54D1F3BB" w14:textId="77777777" w:rsidR="0021513F" w:rsidRDefault="0021513F" w:rsidP="00430896">
      <w:pPr>
        <w:jc w:val="both"/>
        <w:rPr>
          <w:sz w:val="22"/>
        </w:rPr>
      </w:pPr>
    </w:p>
    <w:p w14:paraId="1580323D" w14:textId="77777777" w:rsidR="0021513F" w:rsidRDefault="0021513F" w:rsidP="00430896">
      <w:pPr>
        <w:jc w:val="both"/>
        <w:rPr>
          <w:sz w:val="22"/>
        </w:rPr>
      </w:pPr>
      <w:r w:rsidRPr="0021513F">
        <w:rPr>
          <w:sz w:val="22"/>
          <w:u w:val="single"/>
        </w:rPr>
        <w:t>Judicial Leadership</w:t>
      </w:r>
      <w:r w:rsidR="00734A21">
        <w:rPr>
          <w:sz w:val="22"/>
          <w:u w:val="single"/>
        </w:rPr>
        <w:t>:</w:t>
      </w:r>
      <w:r w:rsidR="00734A21" w:rsidRPr="00734A21">
        <w:rPr>
          <w:sz w:val="22"/>
        </w:rPr>
        <w:t xml:space="preserve">  </w:t>
      </w:r>
      <w:r>
        <w:rPr>
          <w:sz w:val="22"/>
        </w:rPr>
        <w:t xml:space="preserve">Judicial leaders at the state level will also benefit from a statewide view that can be used for decision making.  </w:t>
      </w:r>
    </w:p>
    <w:p w14:paraId="721417D0" w14:textId="77777777" w:rsidR="0021513F" w:rsidRDefault="0021513F" w:rsidP="00430896">
      <w:pPr>
        <w:jc w:val="both"/>
        <w:rPr>
          <w:sz w:val="22"/>
        </w:rPr>
      </w:pPr>
    </w:p>
    <w:p w14:paraId="07E2759C" w14:textId="77777777" w:rsidR="00630EDE" w:rsidRDefault="0021513F" w:rsidP="00430896">
      <w:pPr>
        <w:jc w:val="both"/>
        <w:rPr>
          <w:sz w:val="22"/>
        </w:rPr>
      </w:pPr>
      <w:r w:rsidRPr="00734A21">
        <w:rPr>
          <w:sz w:val="22"/>
          <w:u w:val="single"/>
        </w:rPr>
        <w:t>Local Courts</w:t>
      </w:r>
      <w:r w:rsidR="00734A21" w:rsidRPr="00734A21">
        <w:rPr>
          <w:sz w:val="22"/>
          <w:u w:val="single"/>
        </w:rPr>
        <w:t>:</w:t>
      </w:r>
      <w:r w:rsidR="007857CC" w:rsidRPr="007857CC">
        <w:rPr>
          <w:sz w:val="22"/>
        </w:rPr>
        <w:t xml:space="preserve"> </w:t>
      </w:r>
      <w:r w:rsidR="007857CC">
        <w:rPr>
          <w:sz w:val="22"/>
        </w:rPr>
        <w:t xml:space="preserve"> </w:t>
      </w:r>
      <w:r>
        <w:rPr>
          <w:sz w:val="22"/>
        </w:rPr>
        <w:t>In each jurisdiction</w:t>
      </w:r>
      <w:r w:rsidR="00630EDE">
        <w:rPr>
          <w:sz w:val="22"/>
        </w:rPr>
        <w:t>,</w:t>
      </w:r>
      <w:r>
        <w:rPr>
          <w:sz w:val="22"/>
        </w:rPr>
        <w:t xml:space="preserve"> judicial leadership </w:t>
      </w:r>
      <w:r w:rsidR="00630EDE">
        <w:rPr>
          <w:sz w:val="22"/>
        </w:rPr>
        <w:t xml:space="preserve">and </w:t>
      </w:r>
      <w:r>
        <w:rPr>
          <w:sz w:val="22"/>
        </w:rPr>
        <w:t xml:space="preserve">court management will know how their court compares with </w:t>
      </w:r>
      <w:r w:rsidR="005629FF">
        <w:rPr>
          <w:sz w:val="22"/>
        </w:rPr>
        <w:t>statewide results and with non-Washington jurisdictions</w:t>
      </w:r>
      <w:r>
        <w:rPr>
          <w:sz w:val="22"/>
        </w:rPr>
        <w:t>.</w:t>
      </w:r>
    </w:p>
    <w:p w14:paraId="15C69CA5" w14:textId="77777777" w:rsidR="00EE748E" w:rsidRDefault="00EE748E" w:rsidP="00EE748E">
      <w:pPr>
        <w:rPr>
          <w:sz w:val="22"/>
        </w:rPr>
      </w:pPr>
    </w:p>
    <w:p w14:paraId="7F74178A" w14:textId="77777777" w:rsidR="00874BC8" w:rsidRDefault="00874BC8" w:rsidP="00EE748E">
      <w:pPr>
        <w:rPr>
          <w:sz w:val="22"/>
        </w:rPr>
      </w:pPr>
    </w:p>
    <w:p w14:paraId="23B812C7" w14:textId="77777777" w:rsidR="00A316A7" w:rsidRPr="00C31C1B" w:rsidRDefault="00A316A7">
      <w:pPr>
        <w:keepNext/>
        <w:rPr>
          <w:b/>
          <w:szCs w:val="24"/>
        </w:rPr>
      </w:pPr>
      <w:r w:rsidRPr="00C31C1B">
        <w:rPr>
          <w:b/>
          <w:szCs w:val="24"/>
        </w:rPr>
        <w:t>Background: Data Improvement Project</w:t>
      </w:r>
    </w:p>
    <w:p w14:paraId="67B529B1" w14:textId="77777777" w:rsidR="00C61BDB" w:rsidRPr="00C31C1B" w:rsidRDefault="00A316A7" w:rsidP="00430896">
      <w:pPr>
        <w:keepNext/>
        <w:jc w:val="both"/>
        <w:rPr>
          <w:sz w:val="22"/>
        </w:rPr>
      </w:pPr>
      <w:r w:rsidRPr="00C31C1B">
        <w:rPr>
          <w:sz w:val="22"/>
          <w:u w:val="single"/>
        </w:rPr>
        <w:t>BJA &amp; SCJA</w:t>
      </w:r>
      <w:r w:rsidR="00C31C1B" w:rsidRPr="00C31C1B">
        <w:rPr>
          <w:sz w:val="22"/>
          <w:u w:val="single"/>
        </w:rPr>
        <w:t>:</w:t>
      </w:r>
      <w:r w:rsidR="00C31C1B">
        <w:rPr>
          <w:b/>
          <w:sz w:val="22"/>
        </w:rPr>
        <w:t xml:space="preserve"> </w:t>
      </w:r>
      <w:r w:rsidR="00C31C1B">
        <w:rPr>
          <w:sz w:val="22"/>
        </w:rPr>
        <w:t>The</w:t>
      </w:r>
      <w:r w:rsidR="00C61BDB" w:rsidRPr="00C31C1B">
        <w:rPr>
          <w:sz w:val="22"/>
        </w:rPr>
        <w:t xml:space="preserve"> project began with a December 2011 request from the Superior Court Judges</w:t>
      </w:r>
      <w:r w:rsidR="005629FF">
        <w:rPr>
          <w:sz w:val="22"/>
        </w:rPr>
        <w:t>’</w:t>
      </w:r>
      <w:r w:rsidR="00C61BDB" w:rsidRPr="00C31C1B">
        <w:rPr>
          <w:sz w:val="22"/>
        </w:rPr>
        <w:t xml:space="preserve"> Association (SCJA) to WSCCR for a statewide view of participation in adult drug courts including a process for statewide data collection, appropriate analysis of the data collected, and reporting.  In response, a basic data collection process has been created.  </w:t>
      </w:r>
    </w:p>
    <w:p w14:paraId="2C0D5D7E" w14:textId="77777777" w:rsidR="00C61BDB" w:rsidRPr="00C31C1B" w:rsidRDefault="00C61BDB" w:rsidP="00430896">
      <w:pPr>
        <w:ind w:left="90" w:hanging="90"/>
        <w:jc w:val="both"/>
        <w:rPr>
          <w:sz w:val="22"/>
        </w:rPr>
      </w:pPr>
    </w:p>
    <w:p w14:paraId="17C87DB9" w14:textId="77777777" w:rsidR="00C61BDB" w:rsidRPr="00C31C1B" w:rsidRDefault="00C61BDB" w:rsidP="00430896">
      <w:pPr>
        <w:jc w:val="both"/>
        <w:rPr>
          <w:sz w:val="22"/>
        </w:rPr>
      </w:pPr>
      <w:r w:rsidRPr="00C31C1B">
        <w:rPr>
          <w:sz w:val="22"/>
        </w:rPr>
        <w:t xml:space="preserve">The data project also responds to the Board for Judicial Administration </w:t>
      </w:r>
      <w:r w:rsidR="00C31C1B">
        <w:rPr>
          <w:sz w:val="22"/>
        </w:rPr>
        <w:t xml:space="preserve">(BJA) </w:t>
      </w:r>
      <w:r w:rsidRPr="00C31C1B">
        <w:rPr>
          <w:sz w:val="22"/>
        </w:rPr>
        <w:t xml:space="preserve">2012 resolution voicing support for drug courts.  The resolution called for identification and adoption of best practices in drug courts, collection of data to evaluate and monitor outcomes and performance, and training for judicial officers and staff on the principles and methods of drug courts. </w:t>
      </w:r>
    </w:p>
    <w:p w14:paraId="018BD89C" w14:textId="77777777" w:rsidR="00687E8C" w:rsidRDefault="00687E8C" w:rsidP="00AF6526">
      <w:pPr>
        <w:keepNext/>
        <w:jc w:val="both"/>
        <w:rPr>
          <w:sz w:val="22"/>
          <w:u w:val="single"/>
        </w:rPr>
      </w:pPr>
    </w:p>
    <w:p w14:paraId="6D018733" w14:textId="77777777" w:rsidR="00C61BDB" w:rsidRDefault="00A316A7" w:rsidP="00AF6526">
      <w:pPr>
        <w:keepNext/>
        <w:jc w:val="both"/>
        <w:rPr>
          <w:sz w:val="22"/>
        </w:rPr>
      </w:pPr>
      <w:r w:rsidRPr="00C31C1B">
        <w:rPr>
          <w:sz w:val="22"/>
          <w:u w:val="single"/>
        </w:rPr>
        <w:t>Objectives</w:t>
      </w:r>
      <w:r w:rsidR="00C31C1B" w:rsidRPr="00C31C1B">
        <w:rPr>
          <w:sz w:val="22"/>
          <w:u w:val="single"/>
        </w:rPr>
        <w:t>:</w:t>
      </w:r>
      <w:r w:rsidR="00C31C1B" w:rsidRPr="00C31C1B">
        <w:rPr>
          <w:b/>
          <w:sz w:val="22"/>
        </w:rPr>
        <w:t xml:space="preserve">  </w:t>
      </w:r>
      <w:r w:rsidR="00C61BDB" w:rsidRPr="00C31C1B">
        <w:rPr>
          <w:sz w:val="22"/>
        </w:rPr>
        <w:t>T</w:t>
      </w:r>
      <w:r w:rsidR="00BB7461">
        <w:rPr>
          <w:sz w:val="22"/>
        </w:rPr>
        <w:t xml:space="preserve">o meet the goals of providing useful information to the courts and policy </w:t>
      </w:r>
      <w:r w:rsidR="00AF6526">
        <w:rPr>
          <w:sz w:val="22"/>
        </w:rPr>
        <w:t xml:space="preserve">makers, </w:t>
      </w:r>
      <w:r w:rsidR="00AF6526" w:rsidRPr="00C31C1B">
        <w:rPr>
          <w:sz w:val="22"/>
        </w:rPr>
        <w:t>the</w:t>
      </w:r>
      <w:r w:rsidR="00C61BDB" w:rsidRPr="00C31C1B">
        <w:rPr>
          <w:sz w:val="22"/>
        </w:rPr>
        <w:t xml:space="preserve"> objectives for the data improvement project</w:t>
      </w:r>
      <w:r w:rsidR="001652F6" w:rsidRPr="00C31C1B">
        <w:rPr>
          <w:sz w:val="22"/>
        </w:rPr>
        <w:t xml:space="preserve"> include</w:t>
      </w:r>
      <w:r w:rsidR="00C61BDB" w:rsidRPr="00C31C1B">
        <w:rPr>
          <w:sz w:val="22"/>
        </w:rPr>
        <w:t>:</w:t>
      </w:r>
    </w:p>
    <w:p w14:paraId="6EACA803" w14:textId="77777777" w:rsidR="00D3440E" w:rsidRPr="00C31C1B" w:rsidRDefault="00D3440E" w:rsidP="00D3440E">
      <w:pPr>
        <w:keepNext/>
        <w:ind w:left="86" w:hanging="86"/>
        <w:jc w:val="both"/>
        <w:rPr>
          <w:sz w:val="22"/>
        </w:rPr>
      </w:pPr>
    </w:p>
    <w:p w14:paraId="70B66376" w14:textId="77777777" w:rsidR="00C61BDB" w:rsidRPr="00C31C1B" w:rsidRDefault="00C61BDB" w:rsidP="00D3440E">
      <w:pPr>
        <w:pStyle w:val="ListParagraph"/>
        <w:keepNext/>
        <w:numPr>
          <w:ilvl w:val="0"/>
          <w:numId w:val="7"/>
        </w:numPr>
        <w:ind w:left="626" w:hanging="540"/>
        <w:jc w:val="both"/>
      </w:pPr>
      <w:r w:rsidRPr="00C31C1B">
        <w:t xml:space="preserve">Create a statewide </w:t>
      </w:r>
      <w:r w:rsidR="00687E8C" w:rsidRPr="00C31C1B">
        <w:t>data</w:t>
      </w:r>
      <w:r w:rsidR="00687E8C">
        <w:t xml:space="preserve"> repository</w:t>
      </w:r>
      <w:r w:rsidR="00687E8C" w:rsidRPr="00C31C1B">
        <w:t xml:space="preserve"> </w:t>
      </w:r>
      <w:r w:rsidRPr="00C31C1B">
        <w:t>containing basic data on adult drug court cases.</w:t>
      </w:r>
    </w:p>
    <w:p w14:paraId="2012A71F" w14:textId="77777777" w:rsidR="00C61BDB" w:rsidRPr="00C31C1B" w:rsidRDefault="00C61BDB" w:rsidP="00D3440E">
      <w:pPr>
        <w:pStyle w:val="ListParagraph"/>
        <w:keepNext/>
        <w:numPr>
          <w:ilvl w:val="0"/>
          <w:numId w:val="7"/>
        </w:numPr>
        <w:ind w:left="633" w:hanging="547"/>
        <w:jc w:val="both"/>
      </w:pPr>
      <w:r w:rsidRPr="00C31C1B">
        <w:t>Enable reporting to each adult felony drug court in Washington on its:</w:t>
      </w:r>
    </w:p>
    <w:p w14:paraId="06A2107B" w14:textId="77777777" w:rsidR="00C61BDB" w:rsidRPr="00C31C1B" w:rsidRDefault="00C61BDB" w:rsidP="00D3440E">
      <w:pPr>
        <w:pStyle w:val="ListParagraph"/>
        <w:numPr>
          <w:ilvl w:val="0"/>
          <w:numId w:val="8"/>
        </w:numPr>
        <w:ind w:left="986"/>
        <w:jc w:val="both"/>
      </w:pPr>
      <w:r w:rsidRPr="00C31C1B">
        <w:t>Number of participants entering drug courts.</w:t>
      </w:r>
    </w:p>
    <w:p w14:paraId="125EE55A" w14:textId="77777777" w:rsidR="00C61BDB" w:rsidRPr="00C31C1B" w:rsidRDefault="00C61BDB" w:rsidP="00D3440E">
      <w:pPr>
        <w:pStyle w:val="ListParagraph"/>
        <w:numPr>
          <w:ilvl w:val="0"/>
          <w:numId w:val="8"/>
        </w:numPr>
        <w:ind w:left="986"/>
        <w:jc w:val="both"/>
      </w:pPr>
      <w:r w:rsidRPr="00C31C1B">
        <w:t>Number of active participants.</w:t>
      </w:r>
    </w:p>
    <w:p w14:paraId="5D9156AE" w14:textId="77777777" w:rsidR="00C61BDB" w:rsidRPr="00C31C1B" w:rsidRDefault="00C61BDB" w:rsidP="00D3440E">
      <w:pPr>
        <w:pStyle w:val="ListParagraph"/>
        <w:numPr>
          <w:ilvl w:val="0"/>
          <w:numId w:val="8"/>
        </w:numPr>
        <w:ind w:left="986"/>
        <w:jc w:val="both"/>
      </w:pPr>
      <w:r w:rsidRPr="00C31C1B">
        <w:t>Number failing to complete drug court.</w:t>
      </w:r>
    </w:p>
    <w:p w14:paraId="2BB738C3" w14:textId="77777777" w:rsidR="00C61BDB" w:rsidRPr="00C31C1B" w:rsidRDefault="00C61BDB" w:rsidP="00D3440E">
      <w:pPr>
        <w:pStyle w:val="ListParagraph"/>
        <w:numPr>
          <w:ilvl w:val="0"/>
          <w:numId w:val="8"/>
        </w:numPr>
        <w:ind w:left="986"/>
        <w:jc w:val="both"/>
      </w:pPr>
      <w:r w:rsidRPr="00C31C1B">
        <w:t>Number graduating.</w:t>
      </w:r>
    </w:p>
    <w:p w14:paraId="2F096BBB" w14:textId="77777777" w:rsidR="00C61BDB" w:rsidRPr="00C31C1B" w:rsidRDefault="00C61BDB" w:rsidP="00D3440E">
      <w:pPr>
        <w:pStyle w:val="ListParagraph"/>
        <w:numPr>
          <w:ilvl w:val="0"/>
          <w:numId w:val="8"/>
        </w:numPr>
        <w:ind w:left="986"/>
        <w:jc w:val="both"/>
      </w:pPr>
      <w:r w:rsidRPr="00C31C1B">
        <w:t>Average length of time to graduation, withdrawal or termination from the program.</w:t>
      </w:r>
    </w:p>
    <w:p w14:paraId="1776A513" w14:textId="77777777" w:rsidR="00C61BDB" w:rsidRPr="00C31C1B" w:rsidRDefault="00C61BDB" w:rsidP="00D3440E">
      <w:pPr>
        <w:pStyle w:val="ListParagraph"/>
        <w:numPr>
          <w:ilvl w:val="0"/>
          <w:numId w:val="7"/>
        </w:numPr>
        <w:ind w:left="626" w:hanging="540"/>
        <w:jc w:val="both"/>
      </w:pPr>
      <w:r w:rsidRPr="00C31C1B">
        <w:t>Provide statewide totals for each category.</w:t>
      </w:r>
    </w:p>
    <w:p w14:paraId="3DA78FF6" w14:textId="5603D59C" w:rsidR="001652F6" w:rsidRPr="00C31C1B" w:rsidRDefault="001652F6" w:rsidP="00D3440E">
      <w:pPr>
        <w:pStyle w:val="ListParagraph"/>
        <w:numPr>
          <w:ilvl w:val="0"/>
          <w:numId w:val="7"/>
        </w:numPr>
        <w:ind w:left="626" w:hanging="540"/>
        <w:jc w:val="both"/>
      </w:pPr>
      <w:r w:rsidRPr="00C31C1B">
        <w:t xml:space="preserve">Facilitate future analysis including statewide </w:t>
      </w:r>
      <w:r w:rsidR="00A443C4">
        <w:t>level reporting on recidivism of</w:t>
      </w:r>
      <w:r w:rsidRPr="00C31C1B">
        <w:t xml:space="preserve"> participants by age, gender and race</w:t>
      </w:r>
      <w:r w:rsidR="00C31C1B" w:rsidRPr="00C31C1B">
        <w:t>.</w:t>
      </w:r>
    </w:p>
    <w:p w14:paraId="604AA3D6" w14:textId="77777777" w:rsidR="00305412" w:rsidRDefault="00305412" w:rsidP="00566301">
      <w:pPr>
        <w:ind w:left="90" w:hanging="90"/>
        <w:rPr>
          <w:szCs w:val="24"/>
        </w:rPr>
      </w:pPr>
    </w:p>
    <w:p w14:paraId="2A7C2FEC" w14:textId="77777777" w:rsidR="00A95B37" w:rsidRDefault="00A95B37" w:rsidP="00566301">
      <w:pPr>
        <w:ind w:left="90" w:hanging="90"/>
        <w:rPr>
          <w:szCs w:val="24"/>
        </w:rPr>
      </w:pPr>
    </w:p>
    <w:p w14:paraId="794728C7" w14:textId="77777777" w:rsidR="006625E7" w:rsidRPr="00FC5450" w:rsidRDefault="006625E7" w:rsidP="006625E7">
      <w:pPr>
        <w:rPr>
          <w:b/>
          <w:szCs w:val="24"/>
        </w:rPr>
      </w:pPr>
      <w:r w:rsidRPr="00FC5450">
        <w:rPr>
          <w:b/>
          <w:szCs w:val="24"/>
        </w:rPr>
        <w:t>Background: Adult Drug Courts and Other Therapeutic Courts</w:t>
      </w:r>
    </w:p>
    <w:p w14:paraId="39F45567" w14:textId="1839E3B2" w:rsidR="006625E7" w:rsidRPr="00FC5450" w:rsidRDefault="006625E7" w:rsidP="00D3440E">
      <w:pPr>
        <w:jc w:val="both"/>
        <w:rPr>
          <w:sz w:val="22"/>
        </w:rPr>
      </w:pPr>
      <w:r w:rsidRPr="00FC5450">
        <w:rPr>
          <w:sz w:val="22"/>
        </w:rPr>
        <w:t xml:space="preserve">Therapeutic courts in Washington now have a twenty year history beginning with the creation of the adult drug court in King County in 1994.  Now there are </w:t>
      </w:r>
      <w:r w:rsidR="001A01D7">
        <w:rPr>
          <w:sz w:val="22"/>
        </w:rPr>
        <w:t>83</w:t>
      </w:r>
      <w:r w:rsidRPr="00FC5450">
        <w:rPr>
          <w:sz w:val="22"/>
        </w:rPr>
        <w:t xml:space="preserve"> therapeutic courts of various types including adult (felony), juvenile, family treatment, DUI, DV and veterans courts in 26 of the stat</w:t>
      </w:r>
      <w:r w:rsidR="00F0753F">
        <w:rPr>
          <w:sz w:val="22"/>
        </w:rPr>
        <w:t>e’s 39 counties representing 96</w:t>
      </w:r>
      <w:r w:rsidRPr="00FC5450">
        <w:rPr>
          <w:sz w:val="22"/>
        </w:rPr>
        <w:t>% of the state’s population.  Adult drug courts are present</w:t>
      </w:r>
      <w:r w:rsidR="00F0753F">
        <w:rPr>
          <w:sz w:val="22"/>
        </w:rPr>
        <w:t xml:space="preserve"> in 23 counties representing 93</w:t>
      </w:r>
      <w:r w:rsidRPr="00FC5450">
        <w:rPr>
          <w:sz w:val="22"/>
        </w:rPr>
        <w:t xml:space="preserve">% of the state’s population. </w:t>
      </w:r>
      <w:r w:rsidR="001A01D7">
        <w:rPr>
          <w:sz w:val="22"/>
        </w:rPr>
        <w:t>At the end of 2014 t</w:t>
      </w:r>
      <w:r w:rsidRPr="00FC5450">
        <w:rPr>
          <w:sz w:val="22"/>
        </w:rPr>
        <w:t xml:space="preserve">heir statewide enrollment </w:t>
      </w:r>
      <w:r w:rsidR="001A01D7">
        <w:rPr>
          <w:sz w:val="22"/>
        </w:rPr>
        <w:t>was 1662</w:t>
      </w:r>
      <w:r w:rsidRPr="00FC5450">
        <w:rPr>
          <w:sz w:val="22"/>
        </w:rPr>
        <w:t xml:space="preserve"> participants.</w:t>
      </w:r>
    </w:p>
    <w:p w14:paraId="6D7D14AD" w14:textId="77777777" w:rsidR="006625E7" w:rsidRPr="00FC5450" w:rsidRDefault="006625E7" w:rsidP="00D3440E">
      <w:pPr>
        <w:jc w:val="both"/>
        <w:rPr>
          <w:sz w:val="22"/>
        </w:rPr>
      </w:pPr>
    </w:p>
    <w:p w14:paraId="728F1CE4" w14:textId="77777777" w:rsidR="006625E7" w:rsidRDefault="006625E7" w:rsidP="00D3440E">
      <w:pPr>
        <w:jc w:val="both"/>
        <w:rPr>
          <w:sz w:val="22"/>
        </w:rPr>
      </w:pPr>
      <w:r w:rsidRPr="00FC5450">
        <w:rPr>
          <w:sz w:val="22"/>
        </w:rPr>
        <w:t>Washington’s adult drug courts generally conform to the traditional drug court model in which:</w:t>
      </w:r>
    </w:p>
    <w:p w14:paraId="77545454" w14:textId="77777777" w:rsidR="006625E7" w:rsidRPr="00FC5450" w:rsidRDefault="006625E7" w:rsidP="00D3440E">
      <w:pPr>
        <w:pStyle w:val="ListParagraph"/>
        <w:numPr>
          <w:ilvl w:val="0"/>
          <w:numId w:val="9"/>
        </w:numPr>
        <w:ind w:left="360"/>
        <w:jc w:val="both"/>
      </w:pPr>
      <w:r w:rsidRPr="00FC5450">
        <w:t>The participant undergoes substance abuse treatment for an extended period of time (usually one to two years).</w:t>
      </w:r>
    </w:p>
    <w:p w14:paraId="7934244E" w14:textId="77777777" w:rsidR="006625E7" w:rsidRPr="00FC5450" w:rsidRDefault="006625E7" w:rsidP="00D3440E">
      <w:pPr>
        <w:pStyle w:val="ListParagraph"/>
        <w:numPr>
          <w:ilvl w:val="0"/>
          <w:numId w:val="9"/>
        </w:numPr>
        <w:ind w:left="360"/>
        <w:jc w:val="both"/>
      </w:pPr>
      <w:r w:rsidRPr="00FC5450">
        <w:t>The court monitors the participant’s progress.</w:t>
      </w:r>
    </w:p>
    <w:p w14:paraId="6061C609" w14:textId="77777777" w:rsidR="006625E7" w:rsidRPr="00FC5450" w:rsidRDefault="006625E7" w:rsidP="00D3440E">
      <w:pPr>
        <w:pStyle w:val="ListParagraph"/>
        <w:numPr>
          <w:ilvl w:val="0"/>
          <w:numId w:val="9"/>
        </w:numPr>
        <w:ind w:left="360"/>
        <w:jc w:val="both"/>
      </w:pPr>
      <w:r w:rsidRPr="00FC5450">
        <w:t>The participant is required to submit to a urinalysis on a frequent, random schedule.</w:t>
      </w:r>
    </w:p>
    <w:p w14:paraId="21F7314C" w14:textId="7FE0D02B" w:rsidR="006625E7" w:rsidRPr="00FC5450" w:rsidRDefault="006625E7" w:rsidP="00D3440E">
      <w:pPr>
        <w:pStyle w:val="ListParagraph"/>
        <w:numPr>
          <w:ilvl w:val="0"/>
          <w:numId w:val="9"/>
        </w:numPr>
        <w:ind w:left="360"/>
        <w:jc w:val="both"/>
      </w:pPr>
      <w:r w:rsidRPr="00FC5450">
        <w:t xml:space="preserve">The court periodically (at appropriately frequent intervals) conducts a hearing </w:t>
      </w:r>
      <w:r w:rsidR="00F0753F">
        <w:t xml:space="preserve">in </w:t>
      </w:r>
      <w:r w:rsidRPr="00FC5450">
        <w:t>which the participant’s progress is reviewed, and the participant and the judge discuss the participant’s status.</w:t>
      </w:r>
    </w:p>
    <w:p w14:paraId="232AE4E9" w14:textId="77777777" w:rsidR="006625E7" w:rsidRPr="00FC5450" w:rsidRDefault="006625E7" w:rsidP="00D3440E">
      <w:pPr>
        <w:pStyle w:val="ListParagraph"/>
        <w:numPr>
          <w:ilvl w:val="0"/>
          <w:numId w:val="9"/>
        </w:numPr>
        <w:ind w:left="360"/>
        <w:jc w:val="both"/>
      </w:pPr>
      <w:r w:rsidRPr="00FC5450">
        <w:t>The court imposes sanctions for the participant’s non-compliance with program requirements, and provides rewards for compliance and progress.</w:t>
      </w:r>
    </w:p>
    <w:p w14:paraId="3F9C903E" w14:textId="77777777" w:rsidR="006625E7" w:rsidRPr="00FC5450" w:rsidRDefault="006625E7" w:rsidP="00D3440E">
      <w:pPr>
        <w:pStyle w:val="ListParagraph"/>
        <w:numPr>
          <w:ilvl w:val="0"/>
          <w:numId w:val="9"/>
        </w:numPr>
        <w:ind w:left="360"/>
        <w:jc w:val="both"/>
      </w:pPr>
      <w:r w:rsidRPr="00FC5450">
        <w:t>The participant may be terminated from the program, and returned to the trial court for further proceedings, if violations of program requirements merit.</w:t>
      </w:r>
    </w:p>
    <w:p w14:paraId="74566CF1" w14:textId="77777777" w:rsidR="006625E7" w:rsidRPr="00FC5450" w:rsidRDefault="006625E7" w:rsidP="00D3440E">
      <w:pPr>
        <w:pStyle w:val="ListParagraph"/>
        <w:numPr>
          <w:ilvl w:val="0"/>
          <w:numId w:val="9"/>
        </w:numPr>
        <w:ind w:left="360"/>
        <w:jc w:val="both"/>
      </w:pPr>
      <w:r w:rsidRPr="00FC5450">
        <w:t>The court conducts a formal graduation ceremony for participants who successfully complete the program.</w:t>
      </w:r>
    </w:p>
    <w:p w14:paraId="329E5243" w14:textId="77777777" w:rsidR="006625E7" w:rsidRDefault="006625E7" w:rsidP="00D3440E">
      <w:pPr>
        <w:pStyle w:val="ListParagraph"/>
        <w:numPr>
          <w:ilvl w:val="0"/>
          <w:numId w:val="9"/>
        </w:numPr>
        <w:ind w:left="360"/>
        <w:jc w:val="both"/>
      </w:pPr>
      <w:r w:rsidRPr="00FC5450">
        <w:t xml:space="preserve">The court uses a multi-disciplinary team including the judge, prosecutor, defender, law enforcement, treatment provider, case manager, drug court coordinator and others </w:t>
      </w:r>
      <w:r w:rsidR="005629FF">
        <w:t xml:space="preserve">who </w:t>
      </w:r>
      <w:r w:rsidRPr="00FC5450">
        <w:t>routinely participate in team meetings and review hearings.</w:t>
      </w:r>
    </w:p>
    <w:p w14:paraId="7EC69FCA" w14:textId="77777777" w:rsidR="00D3440E" w:rsidRPr="00FC5450" w:rsidRDefault="00D3440E" w:rsidP="00D3440E">
      <w:pPr>
        <w:pStyle w:val="ListParagraph"/>
        <w:ind w:left="360"/>
        <w:jc w:val="both"/>
      </w:pPr>
    </w:p>
    <w:p w14:paraId="24ED0537" w14:textId="77777777" w:rsidR="00DB543D" w:rsidRDefault="00DB543D" w:rsidP="00DB543D">
      <w:pPr>
        <w:jc w:val="both"/>
        <w:rPr>
          <w:sz w:val="22"/>
        </w:rPr>
      </w:pPr>
      <w:r>
        <w:rPr>
          <w:sz w:val="22"/>
        </w:rPr>
        <w:t>T</w:t>
      </w:r>
      <w:r w:rsidRPr="00FC5450">
        <w:rPr>
          <w:sz w:val="22"/>
        </w:rPr>
        <w:t xml:space="preserve">hough the majority use a pre-disposition approach in which charges are dismissed if the participant successfully completes the program, some </w:t>
      </w:r>
      <w:r>
        <w:rPr>
          <w:sz w:val="22"/>
        </w:rPr>
        <w:t xml:space="preserve">courts </w:t>
      </w:r>
      <w:r w:rsidRPr="00FC5450">
        <w:rPr>
          <w:sz w:val="22"/>
        </w:rPr>
        <w:t xml:space="preserve">are post-disposition where sentencing is stayed and generally, if there is successful completion, </w:t>
      </w:r>
      <w:r>
        <w:rPr>
          <w:sz w:val="22"/>
        </w:rPr>
        <w:t xml:space="preserve">either </w:t>
      </w:r>
      <w:r w:rsidRPr="00FC5450">
        <w:rPr>
          <w:sz w:val="22"/>
        </w:rPr>
        <w:t>jail time and fines are waived</w:t>
      </w:r>
      <w:r>
        <w:rPr>
          <w:sz w:val="22"/>
        </w:rPr>
        <w:t xml:space="preserve"> or, in some counties, charges are dismissed</w:t>
      </w:r>
      <w:r w:rsidRPr="00FC5450">
        <w:rPr>
          <w:sz w:val="22"/>
        </w:rPr>
        <w:t xml:space="preserve">.  </w:t>
      </w:r>
      <w:r>
        <w:rPr>
          <w:sz w:val="22"/>
        </w:rPr>
        <w:t>In addition</w:t>
      </w:r>
      <w:r w:rsidRPr="00FC5450">
        <w:rPr>
          <w:sz w:val="22"/>
        </w:rPr>
        <w:t>, the courts</w:t>
      </w:r>
      <w:r>
        <w:rPr>
          <w:sz w:val="22"/>
        </w:rPr>
        <w:t xml:space="preserve"> differ</w:t>
      </w:r>
      <w:r w:rsidRPr="00FC5450">
        <w:rPr>
          <w:sz w:val="22"/>
        </w:rPr>
        <w:t xml:space="preserve"> from county to county in terms of process and criteria for admission, court process, use of sanctions and incentives, treatment, and graduation requirements.  </w:t>
      </w:r>
      <w:r>
        <w:rPr>
          <w:sz w:val="22"/>
        </w:rPr>
        <w:t xml:space="preserve">As noted below, the data improvement project attempts to deal with these differences through the use of standard data definitions, understanding the different court processes, and identifying for reporting and collection purposes data points (such as participant start date) that can be used consistently with all courts. </w:t>
      </w:r>
    </w:p>
    <w:p w14:paraId="33EDDA22" w14:textId="77777777" w:rsidR="00DB543D" w:rsidRDefault="00DB543D" w:rsidP="00DB543D">
      <w:pPr>
        <w:jc w:val="both"/>
        <w:rPr>
          <w:sz w:val="22"/>
        </w:rPr>
      </w:pPr>
    </w:p>
    <w:p w14:paraId="46D62B4F" w14:textId="4D9B4C64" w:rsidR="006625E7" w:rsidRPr="00FC5450" w:rsidRDefault="00874BC8" w:rsidP="00D3440E">
      <w:pPr>
        <w:jc w:val="both"/>
        <w:rPr>
          <w:sz w:val="22"/>
        </w:rPr>
      </w:pPr>
      <w:r>
        <w:rPr>
          <w:sz w:val="22"/>
        </w:rPr>
        <w:t xml:space="preserve">A schematic of the </w:t>
      </w:r>
      <w:r w:rsidR="00F0753F">
        <w:rPr>
          <w:sz w:val="22"/>
        </w:rPr>
        <w:t>drug court</w:t>
      </w:r>
      <w:r>
        <w:rPr>
          <w:sz w:val="22"/>
        </w:rPr>
        <w:t xml:space="preserve"> process is in </w:t>
      </w:r>
      <w:r w:rsidR="00FE2157">
        <w:rPr>
          <w:sz w:val="22"/>
        </w:rPr>
        <w:t>Appendix A</w:t>
      </w:r>
      <w:r>
        <w:rPr>
          <w:sz w:val="22"/>
        </w:rPr>
        <w:t>.</w:t>
      </w:r>
    </w:p>
    <w:p w14:paraId="21485130" w14:textId="77777777" w:rsidR="00874BC8" w:rsidRDefault="00874BC8" w:rsidP="00D3440E">
      <w:pPr>
        <w:jc w:val="both"/>
        <w:rPr>
          <w:sz w:val="22"/>
        </w:rPr>
      </w:pPr>
    </w:p>
    <w:p w14:paraId="6E5F6FF5" w14:textId="77777777" w:rsidR="0021513F" w:rsidRDefault="0021513F" w:rsidP="00D3440E">
      <w:pPr>
        <w:keepNext/>
        <w:jc w:val="both"/>
        <w:rPr>
          <w:b/>
          <w:szCs w:val="24"/>
        </w:rPr>
      </w:pPr>
    </w:p>
    <w:p w14:paraId="5E56FBD2" w14:textId="77777777" w:rsidR="0011691C" w:rsidRPr="00FE2157" w:rsidRDefault="00A316A7" w:rsidP="00D3440E">
      <w:pPr>
        <w:keepNext/>
        <w:jc w:val="both"/>
        <w:rPr>
          <w:szCs w:val="24"/>
        </w:rPr>
      </w:pPr>
      <w:r w:rsidRPr="00FE2157">
        <w:rPr>
          <w:b/>
          <w:szCs w:val="24"/>
        </w:rPr>
        <w:t>201</w:t>
      </w:r>
      <w:r w:rsidR="0035687E" w:rsidRPr="00FE2157">
        <w:rPr>
          <w:b/>
          <w:szCs w:val="24"/>
        </w:rPr>
        <w:t>5</w:t>
      </w:r>
      <w:r w:rsidRPr="00FE2157">
        <w:rPr>
          <w:b/>
          <w:szCs w:val="24"/>
        </w:rPr>
        <w:t xml:space="preserve"> Data Collection</w:t>
      </w:r>
    </w:p>
    <w:p w14:paraId="4A077DD5" w14:textId="77777777" w:rsidR="00602A46" w:rsidRPr="00D66FBB" w:rsidRDefault="0011691C" w:rsidP="00226F70">
      <w:pPr>
        <w:jc w:val="both"/>
        <w:rPr>
          <w:sz w:val="22"/>
        </w:rPr>
      </w:pPr>
      <w:r w:rsidRPr="00D66FBB">
        <w:rPr>
          <w:sz w:val="22"/>
          <w:u w:val="single"/>
        </w:rPr>
        <w:t>Method and P</w:t>
      </w:r>
      <w:r w:rsidR="00A316A7" w:rsidRPr="00D66FBB">
        <w:rPr>
          <w:sz w:val="22"/>
          <w:u w:val="single"/>
        </w:rPr>
        <w:t>rocess</w:t>
      </w:r>
      <w:r w:rsidR="007772CE" w:rsidRPr="00D66FBB">
        <w:rPr>
          <w:sz w:val="22"/>
          <w:u w:val="single"/>
        </w:rPr>
        <w:t>:</w:t>
      </w:r>
      <w:r w:rsidR="007772CE" w:rsidRPr="00D66FBB">
        <w:rPr>
          <w:sz w:val="22"/>
        </w:rPr>
        <w:t xml:space="preserve">  </w:t>
      </w:r>
      <w:r w:rsidR="00602A46" w:rsidRPr="00D66FBB">
        <w:rPr>
          <w:color w:val="000000"/>
          <w:sz w:val="22"/>
        </w:rPr>
        <w:t xml:space="preserve">This year WSCCR partnered with the Washington State Department of Social and Health Services Research and Data Analysis Division (RDA) to collect adult drug court data.  The objectives of this partnership are to avoid duplicate requests and thereby reduce the administrative burden on courts, to further uniformity in data collection, and to streamline the collection process for both agencies.  </w:t>
      </w:r>
      <w:r w:rsidR="00602A46" w:rsidRPr="00D66FBB">
        <w:rPr>
          <w:sz w:val="22"/>
        </w:rPr>
        <w:t xml:space="preserve">RDA administers collection of the data on behalf of WSCCR so that courts need only provide one data set that both agencies can use.  </w:t>
      </w:r>
    </w:p>
    <w:p w14:paraId="1C73265A" w14:textId="77777777" w:rsidR="00602A46" w:rsidRPr="00D66FBB" w:rsidRDefault="00602A46" w:rsidP="00226F70">
      <w:pPr>
        <w:jc w:val="both"/>
        <w:rPr>
          <w:sz w:val="22"/>
        </w:rPr>
      </w:pPr>
    </w:p>
    <w:p w14:paraId="08931999" w14:textId="77777777" w:rsidR="00602A46" w:rsidRPr="00D66FBB" w:rsidRDefault="00602A46" w:rsidP="00226F70">
      <w:pPr>
        <w:jc w:val="both"/>
        <w:rPr>
          <w:sz w:val="22"/>
        </w:rPr>
      </w:pPr>
      <w:r w:rsidRPr="00D66FBB">
        <w:rPr>
          <w:color w:val="000000"/>
          <w:sz w:val="22"/>
        </w:rPr>
        <w:t>Previously courts had provided data to both RDA and WSCCR in response to their independent requests for data.  Last summer RDA and WSCCR, with the participation of a group of drug court coordinators, negotiated the basis for a joint request.  The intent is to do a single annual request</w:t>
      </w:r>
      <w:r w:rsidRPr="00D66FBB">
        <w:rPr>
          <w:sz w:val="22"/>
        </w:rPr>
        <w:t>.  This arrangement was approved by the Superior Court Judges’ Association Board and is governed by a data sharing agreement between the two agencies.</w:t>
      </w:r>
    </w:p>
    <w:p w14:paraId="0E49C054" w14:textId="77777777" w:rsidR="00602A46" w:rsidRPr="00D66FBB" w:rsidRDefault="00602A46" w:rsidP="00226F70">
      <w:pPr>
        <w:jc w:val="both"/>
        <w:rPr>
          <w:sz w:val="22"/>
        </w:rPr>
      </w:pPr>
    </w:p>
    <w:p w14:paraId="3E63FD67" w14:textId="50B24746" w:rsidR="00AF423D" w:rsidRPr="00D66FBB" w:rsidRDefault="00602A46" w:rsidP="00D66FBB">
      <w:pPr>
        <w:jc w:val="both"/>
        <w:rPr>
          <w:sz w:val="22"/>
        </w:rPr>
      </w:pPr>
      <w:r w:rsidRPr="00D66FBB">
        <w:rPr>
          <w:color w:val="000000"/>
          <w:sz w:val="22"/>
        </w:rPr>
        <w:t xml:space="preserve">In March </w:t>
      </w:r>
      <w:r w:rsidR="00D66FBB">
        <w:rPr>
          <w:color w:val="000000"/>
          <w:sz w:val="22"/>
        </w:rPr>
        <w:t xml:space="preserve">2015 </w:t>
      </w:r>
      <w:r w:rsidRPr="00D66FBB">
        <w:rPr>
          <w:color w:val="000000"/>
          <w:sz w:val="22"/>
        </w:rPr>
        <w:t xml:space="preserve">RDA </w:t>
      </w:r>
      <w:r w:rsidR="0011691C" w:rsidRPr="00D66FBB">
        <w:rPr>
          <w:sz w:val="22"/>
        </w:rPr>
        <w:t xml:space="preserve">sent a request for </w:t>
      </w:r>
      <w:r w:rsidR="00F0753F">
        <w:rPr>
          <w:sz w:val="22"/>
        </w:rPr>
        <w:t xml:space="preserve">2014 calendar year </w:t>
      </w:r>
      <w:r w:rsidR="00D84B51">
        <w:rPr>
          <w:sz w:val="22"/>
        </w:rPr>
        <w:t>data to the 23</w:t>
      </w:r>
      <w:r w:rsidR="0011691C" w:rsidRPr="00D66FBB">
        <w:rPr>
          <w:sz w:val="22"/>
        </w:rPr>
        <w:t xml:space="preserve"> adult drug courts.  </w:t>
      </w:r>
      <w:r w:rsidR="00D66FBB">
        <w:rPr>
          <w:sz w:val="22"/>
        </w:rPr>
        <w:t>A</w:t>
      </w:r>
      <w:r w:rsidR="00D66FBB" w:rsidRPr="00FC5450">
        <w:rPr>
          <w:sz w:val="22"/>
        </w:rPr>
        <w:t xml:space="preserve">ll </w:t>
      </w:r>
      <w:r w:rsidR="00D66FBB">
        <w:rPr>
          <w:sz w:val="22"/>
        </w:rPr>
        <w:t xml:space="preserve">23 adult drug </w:t>
      </w:r>
      <w:r w:rsidR="00D66FBB" w:rsidRPr="00FC5450">
        <w:rPr>
          <w:sz w:val="22"/>
        </w:rPr>
        <w:t xml:space="preserve">courts responded with data.  </w:t>
      </w:r>
      <w:r w:rsidR="00D66FBB">
        <w:rPr>
          <w:sz w:val="22"/>
        </w:rPr>
        <w:t>The request uses the standard set of data defini</w:t>
      </w:r>
      <w:r w:rsidR="00F0753F">
        <w:rPr>
          <w:sz w:val="22"/>
        </w:rPr>
        <w:t>tions developed in 2013 with</w:t>
      </w:r>
      <w:r w:rsidR="00D66FBB">
        <w:rPr>
          <w:sz w:val="22"/>
        </w:rPr>
        <w:t xml:space="preserve"> input from </w:t>
      </w:r>
      <w:r w:rsidR="000209EC" w:rsidRPr="00D66FBB">
        <w:rPr>
          <w:sz w:val="22"/>
        </w:rPr>
        <w:t xml:space="preserve">a </w:t>
      </w:r>
      <w:r w:rsidR="00D66FBB">
        <w:rPr>
          <w:sz w:val="22"/>
        </w:rPr>
        <w:t xml:space="preserve">representative </w:t>
      </w:r>
      <w:r w:rsidR="000209EC" w:rsidRPr="00D66FBB">
        <w:rPr>
          <w:sz w:val="22"/>
        </w:rPr>
        <w:t xml:space="preserve">group of drug court coordinators.  </w:t>
      </w:r>
      <w:r w:rsidR="00D66FBB">
        <w:rPr>
          <w:sz w:val="22"/>
        </w:rPr>
        <w:t xml:space="preserve">In addition, at the request of RDA the participant’s name, gender, ethnicity and date of birth were added this year.  </w:t>
      </w:r>
      <w:r w:rsidR="00AF423D" w:rsidRPr="00D66FBB">
        <w:rPr>
          <w:sz w:val="22"/>
        </w:rPr>
        <w:t xml:space="preserve">These standard definitions will make possible an accurate and consistent statewide drug court database as the project collects future years’ data and assimilates </w:t>
      </w:r>
      <w:r w:rsidR="005629FF" w:rsidRPr="00D66FBB">
        <w:rPr>
          <w:sz w:val="22"/>
        </w:rPr>
        <w:t>it</w:t>
      </w:r>
      <w:r w:rsidR="00AF423D" w:rsidRPr="00D66FBB">
        <w:rPr>
          <w:sz w:val="22"/>
        </w:rPr>
        <w:t xml:space="preserve"> into the database.</w:t>
      </w:r>
      <w:r w:rsidR="00D66FBB">
        <w:rPr>
          <w:sz w:val="22"/>
        </w:rPr>
        <w:t xml:space="preserve">  The data collection instrument was an Excel spreadsheet.</w:t>
      </w:r>
    </w:p>
    <w:p w14:paraId="1CFD3CAD" w14:textId="77777777" w:rsidR="00AF423D" w:rsidRPr="00D66FBB" w:rsidRDefault="00AF423D" w:rsidP="00D3440E">
      <w:pPr>
        <w:jc w:val="both"/>
        <w:rPr>
          <w:sz w:val="22"/>
        </w:rPr>
      </w:pPr>
    </w:p>
    <w:p w14:paraId="3A0D6DAC" w14:textId="326AA95E" w:rsidR="001652F6" w:rsidRPr="00FC5450" w:rsidRDefault="00D66FBB" w:rsidP="00D3440E">
      <w:pPr>
        <w:jc w:val="both"/>
        <w:rPr>
          <w:sz w:val="22"/>
        </w:rPr>
      </w:pPr>
      <w:r>
        <w:rPr>
          <w:sz w:val="22"/>
        </w:rPr>
        <w:t xml:space="preserve">The data elements include </w:t>
      </w:r>
      <w:r w:rsidR="001652F6" w:rsidRPr="00FC5450">
        <w:rPr>
          <w:sz w:val="22"/>
        </w:rPr>
        <w:t xml:space="preserve">the Superior Court Management Information System (SCOMIS) case number </w:t>
      </w:r>
      <w:r>
        <w:rPr>
          <w:sz w:val="22"/>
        </w:rPr>
        <w:t xml:space="preserve">which permits linking </w:t>
      </w:r>
      <w:r w:rsidR="00B80DF3" w:rsidRPr="00FC5450">
        <w:rPr>
          <w:sz w:val="22"/>
        </w:rPr>
        <w:t xml:space="preserve">the data to the statewide Judicial Information </w:t>
      </w:r>
      <w:r w:rsidR="00D84B51">
        <w:rPr>
          <w:sz w:val="22"/>
        </w:rPr>
        <w:t>System c</w:t>
      </w:r>
      <w:r w:rsidR="00B80DF3" w:rsidRPr="00FC5450">
        <w:rPr>
          <w:sz w:val="22"/>
        </w:rPr>
        <w:t>riminal history database for</w:t>
      </w:r>
      <w:r w:rsidR="001652F6" w:rsidRPr="00FC5450">
        <w:rPr>
          <w:sz w:val="22"/>
        </w:rPr>
        <w:t xml:space="preserve"> calculation and reporting of recidivism at some point in the future</w:t>
      </w:r>
      <w:r w:rsidR="00B80DF3" w:rsidRPr="00FC5450">
        <w:rPr>
          <w:sz w:val="22"/>
        </w:rPr>
        <w:t xml:space="preserve">.  The </w:t>
      </w:r>
      <w:r>
        <w:rPr>
          <w:sz w:val="22"/>
        </w:rPr>
        <w:t xml:space="preserve">additional data elements this year and </w:t>
      </w:r>
      <w:r w:rsidR="00B80DF3" w:rsidRPr="00FC5450">
        <w:rPr>
          <w:sz w:val="22"/>
        </w:rPr>
        <w:t xml:space="preserve">SCOMIS number also will </w:t>
      </w:r>
      <w:r>
        <w:rPr>
          <w:sz w:val="22"/>
        </w:rPr>
        <w:t>facilitate</w:t>
      </w:r>
      <w:r w:rsidR="00B80DF3" w:rsidRPr="00FC5450">
        <w:rPr>
          <w:sz w:val="22"/>
        </w:rPr>
        <w:t xml:space="preserve"> future </w:t>
      </w:r>
      <w:r w:rsidR="00E4013E">
        <w:rPr>
          <w:sz w:val="22"/>
        </w:rPr>
        <w:t xml:space="preserve">reporting </w:t>
      </w:r>
      <w:r w:rsidR="001652F6" w:rsidRPr="00FC5450">
        <w:rPr>
          <w:sz w:val="22"/>
        </w:rPr>
        <w:t>on participants by age, gender and race.</w:t>
      </w:r>
    </w:p>
    <w:p w14:paraId="30353B7F" w14:textId="77777777" w:rsidR="0011691C" w:rsidRPr="00FC5450" w:rsidRDefault="0011691C" w:rsidP="00D3440E">
      <w:pPr>
        <w:jc w:val="both"/>
        <w:rPr>
          <w:sz w:val="22"/>
        </w:rPr>
      </w:pPr>
    </w:p>
    <w:p w14:paraId="05385314" w14:textId="77777777" w:rsidR="00C36E68" w:rsidRDefault="000209EC" w:rsidP="00D3440E">
      <w:pPr>
        <w:keepNext/>
        <w:jc w:val="both"/>
        <w:rPr>
          <w:sz w:val="22"/>
        </w:rPr>
      </w:pPr>
      <w:r w:rsidRPr="00EE748E">
        <w:rPr>
          <w:sz w:val="22"/>
          <w:u w:val="single"/>
        </w:rPr>
        <w:t>Data Assimilation</w:t>
      </w:r>
      <w:r w:rsidR="007772CE" w:rsidRPr="00EE748E">
        <w:rPr>
          <w:sz w:val="22"/>
          <w:u w:val="single"/>
        </w:rPr>
        <w:t>:</w:t>
      </w:r>
      <w:r w:rsidR="007772CE" w:rsidRPr="00EE748E">
        <w:rPr>
          <w:sz w:val="22"/>
        </w:rPr>
        <w:t xml:space="preserve">  </w:t>
      </w:r>
      <w:r w:rsidR="00236863" w:rsidRPr="007772CE">
        <w:rPr>
          <w:sz w:val="22"/>
        </w:rPr>
        <w:t>Assembling the data was complicated because t</w:t>
      </w:r>
      <w:r w:rsidR="00C36E68" w:rsidRPr="007772CE">
        <w:rPr>
          <w:sz w:val="22"/>
        </w:rPr>
        <w:t>he local courts used a variety o</w:t>
      </w:r>
      <w:r w:rsidR="00236863" w:rsidRPr="007772CE">
        <w:rPr>
          <w:sz w:val="22"/>
        </w:rPr>
        <w:t>f sources to extract their data.  These include:</w:t>
      </w:r>
    </w:p>
    <w:p w14:paraId="5CD7D4DF" w14:textId="77777777" w:rsidR="00D3440E" w:rsidRPr="007772CE" w:rsidRDefault="00D3440E" w:rsidP="00D3440E">
      <w:pPr>
        <w:keepNext/>
        <w:jc w:val="both"/>
        <w:rPr>
          <w:sz w:val="22"/>
        </w:rPr>
      </w:pPr>
    </w:p>
    <w:p w14:paraId="5F0E481A" w14:textId="77777777" w:rsidR="00236863" w:rsidRPr="00FC5450" w:rsidRDefault="000A2F14" w:rsidP="00D3440E">
      <w:pPr>
        <w:pStyle w:val="ListParagraph"/>
        <w:numPr>
          <w:ilvl w:val="0"/>
          <w:numId w:val="11"/>
        </w:numPr>
        <w:ind w:left="360"/>
        <w:jc w:val="both"/>
      </w:pPr>
      <w:r>
        <w:t xml:space="preserve">The </w:t>
      </w:r>
      <w:r w:rsidR="00236863" w:rsidRPr="00FC5450">
        <w:t>Drug Court Case Management System</w:t>
      </w:r>
      <w:r w:rsidRPr="000A2F14">
        <w:t xml:space="preserve"> </w:t>
      </w:r>
      <w:r>
        <w:t>(</w:t>
      </w:r>
      <w:r w:rsidRPr="00FC5450">
        <w:t>DCCM</w:t>
      </w:r>
      <w:r>
        <w:t>)</w:t>
      </w:r>
      <w:r w:rsidR="00236863" w:rsidRPr="00FC5450">
        <w:t xml:space="preserve"> is a commercial web-based software </w:t>
      </w:r>
      <w:r w:rsidR="002640B4">
        <w:t xml:space="preserve">produced by Advanced Computer Technologies and </w:t>
      </w:r>
      <w:r w:rsidR="00236863" w:rsidRPr="00FC5450">
        <w:t>used by nine courts.  WSCCR was able to export data for these nine courts directly from its database.</w:t>
      </w:r>
    </w:p>
    <w:p w14:paraId="41F0E629" w14:textId="77777777" w:rsidR="00236863" w:rsidRPr="00FC5450" w:rsidRDefault="00236863" w:rsidP="00D3440E">
      <w:pPr>
        <w:pStyle w:val="ListParagraph"/>
        <w:numPr>
          <w:ilvl w:val="0"/>
          <w:numId w:val="11"/>
        </w:numPr>
        <w:ind w:left="360"/>
        <w:jc w:val="both"/>
      </w:pPr>
      <w:r w:rsidRPr="00FC5450">
        <w:t>Unique locally developed databases use database software such as Microsoft Access.</w:t>
      </w:r>
    </w:p>
    <w:p w14:paraId="51BA8F21" w14:textId="77777777" w:rsidR="00236863" w:rsidRPr="00FC5450" w:rsidRDefault="00236863" w:rsidP="00D3440E">
      <w:pPr>
        <w:pStyle w:val="ListParagraph"/>
        <w:numPr>
          <w:ilvl w:val="0"/>
          <w:numId w:val="11"/>
        </w:numPr>
        <w:ind w:left="360"/>
        <w:jc w:val="both"/>
      </w:pPr>
      <w:r w:rsidRPr="00FC5450">
        <w:t>Locally maintained off-the shelf software from Loryx Systems is used in two counties.</w:t>
      </w:r>
    </w:p>
    <w:p w14:paraId="7D11D5D4" w14:textId="77777777" w:rsidR="00236863" w:rsidRDefault="00236863" w:rsidP="00D3440E">
      <w:pPr>
        <w:pStyle w:val="ListParagraph"/>
        <w:numPr>
          <w:ilvl w:val="0"/>
          <w:numId w:val="11"/>
        </w:numPr>
        <w:ind w:left="360"/>
        <w:jc w:val="both"/>
      </w:pPr>
      <w:r w:rsidRPr="00FC5450">
        <w:t>Local case files include paper records, optically imaged records and Word documents.</w:t>
      </w:r>
    </w:p>
    <w:p w14:paraId="304514FC" w14:textId="77777777" w:rsidR="00236863" w:rsidRPr="007B619E" w:rsidRDefault="000A2F14" w:rsidP="00894D3F">
      <w:pPr>
        <w:pStyle w:val="ListParagraph"/>
        <w:keepNext/>
        <w:numPr>
          <w:ilvl w:val="0"/>
          <w:numId w:val="11"/>
        </w:numPr>
        <w:ind w:left="360"/>
        <w:jc w:val="both"/>
        <w:rPr>
          <w:szCs w:val="24"/>
        </w:rPr>
      </w:pPr>
      <w:r>
        <w:t>The Superior Court Management Information System (SCOMIS) which the Administrative Office of the Courts maintains.  Because drug court data is not entered into SCOMIS in a consistent manner across the state, it is generally not usable to report on drug court cases.  However, for one court, where drug court data appeared to be complete, SCOMIS was used.</w:t>
      </w:r>
    </w:p>
    <w:p w14:paraId="6542E1D5" w14:textId="77777777" w:rsidR="007B619E" w:rsidRPr="007B619E" w:rsidRDefault="007B619E" w:rsidP="007B619E">
      <w:pPr>
        <w:keepNext/>
        <w:jc w:val="both"/>
        <w:rPr>
          <w:szCs w:val="24"/>
        </w:rPr>
      </w:pPr>
    </w:p>
    <w:tbl>
      <w:tblPr>
        <w:tblW w:w="6325" w:type="dxa"/>
        <w:tblInd w:w="13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85"/>
        <w:gridCol w:w="1440"/>
      </w:tblGrid>
      <w:tr w:rsidR="00236863" w:rsidRPr="00C36E68" w14:paraId="0CF3DBC1" w14:textId="77777777" w:rsidTr="00236863">
        <w:trPr>
          <w:trHeight w:val="290"/>
        </w:trPr>
        <w:tc>
          <w:tcPr>
            <w:tcW w:w="4885" w:type="dxa"/>
          </w:tcPr>
          <w:p w14:paraId="51DEA3DC" w14:textId="77777777" w:rsidR="00236863" w:rsidRPr="00796B20" w:rsidRDefault="00236863" w:rsidP="00D3440E">
            <w:pPr>
              <w:keepNext/>
              <w:autoSpaceDE w:val="0"/>
              <w:autoSpaceDN w:val="0"/>
              <w:adjustRightInd w:val="0"/>
              <w:jc w:val="both"/>
              <w:rPr>
                <w:b/>
                <w:color w:val="000000"/>
                <w:sz w:val="22"/>
              </w:rPr>
            </w:pPr>
            <w:r w:rsidRPr="00796B20">
              <w:rPr>
                <w:b/>
                <w:color w:val="000000"/>
                <w:sz w:val="22"/>
              </w:rPr>
              <w:t>Database Type</w:t>
            </w:r>
          </w:p>
        </w:tc>
        <w:tc>
          <w:tcPr>
            <w:tcW w:w="1440" w:type="dxa"/>
          </w:tcPr>
          <w:p w14:paraId="654115F2" w14:textId="77777777" w:rsidR="00236863" w:rsidRPr="00796B20" w:rsidRDefault="00236863" w:rsidP="00D3440E">
            <w:pPr>
              <w:keepNext/>
              <w:autoSpaceDE w:val="0"/>
              <w:autoSpaceDN w:val="0"/>
              <w:adjustRightInd w:val="0"/>
              <w:jc w:val="both"/>
              <w:rPr>
                <w:b/>
                <w:color w:val="000000"/>
                <w:sz w:val="22"/>
              </w:rPr>
            </w:pPr>
            <w:r w:rsidRPr="00796B20">
              <w:rPr>
                <w:b/>
                <w:color w:val="000000"/>
                <w:sz w:val="22"/>
              </w:rPr>
              <w:t># of Courts</w:t>
            </w:r>
          </w:p>
        </w:tc>
      </w:tr>
      <w:tr w:rsidR="00C36E68" w:rsidRPr="00C36E68" w14:paraId="4566FBD8" w14:textId="77777777" w:rsidTr="00236863">
        <w:trPr>
          <w:trHeight w:val="290"/>
        </w:trPr>
        <w:tc>
          <w:tcPr>
            <w:tcW w:w="4885" w:type="dxa"/>
          </w:tcPr>
          <w:p w14:paraId="024231BD" w14:textId="77777777" w:rsidR="00C36E68" w:rsidRPr="00796B20" w:rsidRDefault="00C36E68" w:rsidP="00D3440E">
            <w:pPr>
              <w:keepNext/>
              <w:autoSpaceDE w:val="0"/>
              <w:autoSpaceDN w:val="0"/>
              <w:adjustRightInd w:val="0"/>
              <w:jc w:val="both"/>
              <w:rPr>
                <w:color w:val="000000"/>
                <w:sz w:val="22"/>
              </w:rPr>
            </w:pPr>
            <w:r w:rsidRPr="00796B20">
              <w:rPr>
                <w:color w:val="000000"/>
                <w:sz w:val="22"/>
              </w:rPr>
              <w:t>DCCM</w:t>
            </w:r>
          </w:p>
        </w:tc>
        <w:tc>
          <w:tcPr>
            <w:tcW w:w="1440" w:type="dxa"/>
          </w:tcPr>
          <w:p w14:paraId="407AE319" w14:textId="77777777" w:rsidR="00C36E68" w:rsidRPr="00796B20" w:rsidRDefault="00C36E68" w:rsidP="00B45DD9">
            <w:pPr>
              <w:keepNext/>
              <w:autoSpaceDE w:val="0"/>
              <w:autoSpaceDN w:val="0"/>
              <w:adjustRightInd w:val="0"/>
              <w:jc w:val="center"/>
              <w:rPr>
                <w:color w:val="000000"/>
                <w:sz w:val="22"/>
              </w:rPr>
            </w:pPr>
            <w:r w:rsidRPr="00796B20">
              <w:rPr>
                <w:color w:val="000000"/>
                <w:sz w:val="22"/>
              </w:rPr>
              <w:t>9</w:t>
            </w:r>
          </w:p>
        </w:tc>
      </w:tr>
      <w:tr w:rsidR="00C36E68" w:rsidRPr="00C36E68" w14:paraId="2FB1F14E" w14:textId="77777777" w:rsidTr="00236863">
        <w:trPr>
          <w:trHeight w:val="290"/>
        </w:trPr>
        <w:tc>
          <w:tcPr>
            <w:tcW w:w="4885" w:type="dxa"/>
          </w:tcPr>
          <w:p w14:paraId="1AD85C12" w14:textId="77777777" w:rsidR="00C36E68" w:rsidRPr="00796B20" w:rsidRDefault="00BD639E" w:rsidP="00D3440E">
            <w:pPr>
              <w:keepNext/>
              <w:autoSpaceDE w:val="0"/>
              <w:autoSpaceDN w:val="0"/>
              <w:adjustRightInd w:val="0"/>
              <w:jc w:val="both"/>
              <w:rPr>
                <w:color w:val="000000"/>
                <w:sz w:val="22"/>
              </w:rPr>
            </w:pPr>
            <w:r w:rsidRPr="00796B20">
              <w:rPr>
                <w:color w:val="000000"/>
                <w:sz w:val="22"/>
              </w:rPr>
              <w:t>Unique locally developed</w:t>
            </w:r>
            <w:r w:rsidR="00C36E68" w:rsidRPr="00796B20">
              <w:rPr>
                <w:color w:val="000000"/>
                <w:sz w:val="22"/>
              </w:rPr>
              <w:t xml:space="preserve"> database</w:t>
            </w:r>
          </w:p>
        </w:tc>
        <w:tc>
          <w:tcPr>
            <w:tcW w:w="1440" w:type="dxa"/>
          </w:tcPr>
          <w:p w14:paraId="7950E6C4" w14:textId="77777777" w:rsidR="00C36E68" w:rsidRPr="00796B20" w:rsidRDefault="00C36E68" w:rsidP="00B45DD9">
            <w:pPr>
              <w:keepNext/>
              <w:autoSpaceDE w:val="0"/>
              <w:autoSpaceDN w:val="0"/>
              <w:adjustRightInd w:val="0"/>
              <w:jc w:val="center"/>
              <w:rPr>
                <w:color w:val="000000"/>
                <w:sz w:val="22"/>
              </w:rPr>
            </w:pPr>
            <w:r w:rsidRPr="00796B20">
              <w:rPr>
                <w:color w:val="000000"/>
                <w:sz w:val="22"/>
              </w:rPr>
              <w:t>7</w:t>
            </w:r>
          </w:p>
        </w:tc>
      </w:tr>
      <w:tr w:rsidR="00C36E68" w:rsidRPr="00C36E68" w14:paraId="6C9ED310" w14:textId="77777777" w:rsidTr="00236863">
        <w:trPr>
          <w:trHeight w:val="290"/>
        </w:trPr>
        <w:tc>
          <w:tcPr>
            <w:tcW w:w="4885" w:type="dxa"/>
          </w:tcPr>
          <w:p w14:paraId="5882F9CD" w14:textId="77777777" w:rsidR="00C36E68" w:rsidRPr="00796B20" w:rsidRDefault="00C36E68" w:rsidP="00D3440E">
            <w:pPr>
              <w:keepNext/>
              <w:autoSpaceDE w:val="0"/>
              <w:autoSpaceDN w:val="0"/>
              <w:adjustRightInd w:val="0"/>
              <w:jc w:val="both"/>
              <w:rPr>
                <w:color w:val="000000"/>
                <w:sz w:val="22"/>
              </w:rPr>
            </w:pPr>
            <w:r w:rsidRPr="00796B20">
              <w:rPr>
                <w:color w:val="000000"/>
                <w:sz w:val="22"/>
              </w:rPr>
              <w:t>Locally maintained off-the shelf software</w:t>
            </w:r>
          </w:p>
        </w:tc>
        <w:tc>
          <w:tcPr>
            <w:tcW w:w="1440" w:type="dxa"/>
          </w:tcPr>
          <w:p w14:paraId="33B61DB7" w14:textId="77777777" w:rsidR="00C36E68" w:rsidRPr="00796B20" w:rsidRDefault="00C36E68" w:rsidP="00B45DD9">
            <w:pPr>
              <w:keepNext/>
              <w:autoSpaceDE w:val="0"/>
              <w:autoSpaceDN w:val="0"/>
              <w:adjustRightInd w:val="0"/>
              <w:jc w:val="center"/>
              <w:rPr>
                <w:color w:val="000000"/>
                <w:sz w:val="22"/>
              </w:rPr>
            </w:pPr>
            <w:r w:rsidRPr="00796B20">
              <w:rPr>
                <w:color w:val="000000"/>
                <w:sz w:val="22"/>
              </w:rPr>
              <w:t>2</w:t>
            </w:r>
          </w:p>
        </w:tc>
      </w:tr>
      <w:tr w:rsidR="00C36E68" w:rsidRPr="00C36E68" w14:paraId="64BD0257" w14:textId="77777777" w:rsidTr="00236863">
        <w:trPr>
          <w:trHeight w:val="290"/>
        </w:trPr>
        <w:tc>
          <w:tcPr>
            <w:tcW w:w="4885" w:type="dxa"/>
          </w:tcPr>
          <w:p w14:paraId="241407FF" w14:textId="77777777" w:rsidR="00C36E68" w:rsidRPr="00796B20" w:rsidRDefault="00C36E68" w:rsidP="00D3440E">
            <w:pPr>
              <w:keepNext/>
              <w:autoSpaceDE w:val="0"/>
              <w:autoSpaceDN w:val="0"/>
              <w:adjustRightInd w:val="0"/>
              <w:jc w:val="both"/>
              <w:rPr>
                <w:color w:val="000000"/>
                <w:sz w:val="22"/>
              </w:rPr>
            </w:pPr>
            <w:r w:rsidRPr="00796B20">
              <w:rPr>
                <w:color w:val="000000"/>
                <w:sz w:val="22"/>
              </w:rPr>
              <w:t>Local case files</w:t>
            </w:r>
          </w:p>
        </w:tc>
        <w:tc>
          <w:tcPr>
            <w:tcW w:w="1440" w:type="dxa"/>
          </w:tcPr>
          <w:p w14:paraId="2F838CCB" w14:textId="77777777" w:rsidR="00C36E68" w:rsidRPr="00796B20" w:rsidRDefault="00796B20" w:rsidP="00B45DD9">
            <w:pPr>
              <w:keepNext/>
              <w:autoSpaceDE w:val="0"/>
              <w:autoSpaceDN w:val="0"/>
              <w:adjustRightInd w:val="0"/>
              <w:jc w:val="center"/>
              <w:rPr>
                <w:color w:val="000000"/>
                <w:sz w:val="22"/>
              </w:rPr>
            </w:pPr>
            <w:r w:rsidRPr="00796B20">
              <w:rPr>
                <w:color w:val="000000"/>
                <w:sz w:val="22"/>
              </w:rPr>
              <w:t>4</w:t>
            </w:r>
          </w:p>
        </w:tc>
      </w:tr>
      <w:tr w:rsidR="000A2F14" w:rsidRPr="00C36E68" w14:paraId="676F6EF9" w14:textId="77777777" w:rsidTr="00236863">
        <w:trPr>
          <w:trHeight w:val="290"/>
        </w:trPr>
        <w:tc>
          <w:tcPr>
            <w:tcW w:w="4885" w:type="dxa"/>
          </w:tcPr>
          <w:p w14:paraId="420F9F18" w14:textId="77777777" w:rsidR="000A2F14" w:rsidRPr="00796B20" w:rsidRDefault="000A2F14" w:rsidP="00796B20">
            <w:pPr>
              <w:autoSpaceDE w:val="0"/>
              <w:autoSpaceDN w:val="0"/>
              <w:adjustRightInd w:val="0"/>
              <w:jc w:val="both"/>
              <w:rPr>
                <w:color w:val="000000"/>
                <w:sz w:val="22"/>
              </w:rPr>
            </w:pPr>
            <w:r w:rsidRPr="00796B20">
              <w:rPr>
                <w:sz w:val="22"/>
              </w:rPr>
              <w:t>SCOMIS</w:t>
            </w:r>
            <w:r w:rsidR="00796B20" w:rsidRPr="00796B20">
              <w:rPr>
                <w:sz w:val="22"/>
              </w:rPr>
              <w:t xml:space="preserve"> and </w:t>
            </w:r>
            <w:r w:rsidR="00796B20">
              <w:rPr>
                <w:sz w:val="22"/>
              </w:rPr>
              <w:t>local court database</w:t>
            </w:r>
          </w:p>
        </w:tc>
        <w:tc>
          <w:tcPr>
            <w:tcW w:w="1440" w:type="dxa"/>
          </w:tcPr>
          <w:p w14:paraId="6C572D3D" w14:textId="77777777" w:rsidR="000A2F14" w:rsidRPr="00796B20" w:rsidRDefault="000A2F14" w:rsidP="00B45DD9">
            <w:pPr>
              <w:autoSpaceDE w:val="0"/>
              <w:autoSpaceDN w:val="0"/>
              <w:adjustRightInd w:val="0"/>
              <w:jc w:val="center"/>
              <w:rPr>
                <w:color w:val="000000"/>
                <w:sz w:val="22"/>
              </w:rPr>
            </w:pPr>
            <w:r w:rsidRPr="00796B20">
              <w:rPr>
                <w:color w:val="000000"/>
                <w:sz w:val="22"/>
              </w:rPr>
              <w:t>1</w:t>
            </w:r>
          </w:p>
        </w:tc>
      </w:tr>
      <w:tr w:rsidR="00C36E68" w:rsidRPr="00C36E68" w14:paraId="19FC9961" w14:textId="77777777" w:rsidTr="00236863">
        <w:trPr>
          <w:trHeight w:val="290"/>
        </w:trPr>
        <w:tc>
          <w:tcPr>
            <w:tcW w:w="4885" w:type="dxa"/>
          </w:tcPr>
          <w:p w14:paraId="3901435D" w14:textId="77777777" w:rsidR="00C36E68" w:rsidRPr="00796B20" w:rsidRDefault="00C75C88" w:rsidP="00D3440E">
            <w:pPr>
              <w:autoSpaceDE w:val="0"/>
              <w:autoSpaceDN w:val="0"/>
              <w:adjustRightInd w:val="0"/>
              <w:jc w:val="both"/>
              <w:rPr>
                <w:color w:val="000000"/>
                <w:sz w:val="22"/>
              </w:rPr>
            </w:pPr>
            <w:r w:rsidRPr="00796B20">
              <w:rPr>
                <w:color w:val="000000"/>
                <w:sz w:val="22"/>
              </w:rPr>
              <w:t>Total courts providing data</w:t>
            </w:r>
          </w:p>
        </w:tc>
        <w:tc>
          <w:tcPr>
            <w:tcW w:w="1440" w:type="dxa"/>
          </w:tcPr>
          <w:p w14:paraId="008218C3" w14:textId="77777777" w:rsidR="00C36E68" w:rsidRPr="00796B20" w:rsidRDefault="000A2F14" w:rsidP="00B45DD9">
            <w:pPr>
              <w:autoSpaceDE w:val="0"/>
              <w:autoSpaceDN w:val="0"/>
              <w:adjustRightInd w:val="0"/>
              <w:jc w:val="center"/>
              <w:rPr>
                <w:color w:val="000000"/>
                <w:sz w:val="22"/>
              </w:rPr>
            </w:pPr>
            <w:r w:rsidRPr="00796B20">
              <w:rPr>
                <w:color w:val="000000"/>
                <w:sz w:val="22"/>
              </w:rPr>
              <w:t>2</w:t>
            </w:r>
            <w:r w:rsidR="00796B20" w:rsidRPr="00796B20">
              <w:rPr>
                <w:color w:val="000000"/>
                <w:sz w:val="22"/>
              </w:rPr>
              <w:t>3</w:t>
            </w:r>
          </w:p>
        </w:tc>
      </w:tr>
    </w:tbl>
    <w:p w14:paraId="0A94DBFC" w14:textId="77777777" w:rsidR="00FE2157" w:rsidRDefault="00FE2157" w:rsidP="00D3440E">
      <w:pPr>
        <w:keepNext/>
        <w:jc w:val="both"/>
        <w:rPr>
          <w:sz w:val="22"/>
        </w:rPr>
      </w:pPr>
    </w:p>
    <w:p w14:paraId="0BC804F1" w14:textId="77777777" w:rsidR="00C75C88" w:rsidRDefault="00477B8A" w:rsidP="00D3440E">
      <w:pPr>
        <w:keepNext/>
        <w:jc w:val="both"/>
        <w:rPr>
          <w:sz w:val="22"/>
        </w:rPr>
      </w:pPr>
      <w:r w:rsidRPr="00FC5450">
        <w:rPr>
          <w:sz w:val="22"/>
        </w:rPr>
        <w:t xml:space="preserve">After WSCCR received the courts’ data, the next step </w:t>
      </w:r>
      <w:r w:rsidR="00E4013E">
        <w:rPr>
          <w:sz w:val="22"/>
        </w:rPr>
        <w:t xml:space="preserve">was </w:t>
      </w:r>
      <w:r w:rsidRPr="00FC5450">
        <w:rPr>
          <w:sz w:val="22"/>
        </w:rPr>
        <w:t xml:space="preserve">to assemble it into a database form </w:t>
      </w:r>
      <w:r w:rsidR="00C75C88" w:rsidRPr="00FC5450">
        <w:rPr>
          <w:sz w:val="22"/>
        </w:rPr>
        <w:t>that was consistent across all courts.  The issues dealt with in this phase include:</w:t>
      </w:r>
    </w:p>
    <w:p w14:paraId="137237BB" w14:textId="77777777" w:rsidR="00D3440E" w:rsidRPr="00FC5450" w:rsidRDefault="00D3440E" w:rsidP="00D3440E">
      <w:pPr>
        <w:keepNext/>
        <w:jc w:val="both"/>
        <w:rPr>
          <w:sz w:val="22"/>
        </w:rPr>
      </w:pPr>
    </w:p>
    <w:p w14:paraId="1FD0B62C" w14:textId="48033D5E" w:rsidR="000209EC" w:rsidRDefault="00085275" w:rsidP="00D3440E">
      <w:pPr>
        <w:pStyle w:val="ListParagraph"/>
        <w:keepNext/>
        <w:numPr>
          <w:ilvl w:val="0"/>
          <w:numId w:val="10"/>
        </w:numPr>
        <w:ind w:left="360"/>
        <w:jc w:val="both"/>
      </w:pPr>
      <w:r w:rsidRPr="00FC5450">
        <w:t xml:space="preserve">Record keeping and local court database capabilities are limited and vary from court to court.  </w:t>
      </w:r>
      <w:r w:rsidR="006E3EE5">
        <w:t>None of the courts were</w:t>
      </w:r>
      <w:r w:rsidR="00477B8A" w:rsidRPr="00FC5450">
        <w:t xml:space="preserve"> able to provide all of the data elements requested.  </w:t>
      </w:r>
      <w:r w:rsidR="00B53A95" w:rsidRPr="00FC5450">
        <w:t>All courts did provide sufficient data to calculate numbers of participants starting their programs, terminated and graduated in 2012</w:t>
      </w:r>
      <w:r w:rsidR="00B45DD9">
        <w:t>, 2013 and 2014</w:t>
      </w:r>
      <w:r w:rsidR="00B53A95" w:rsidRPr="00FC5450">
        <w:t>.</w:t>
      </w:r>
    </w:p>
    <w:p w14:paraId="24E97EC7" w14:textId="77777777" w:rsidR="00976D72" w:rsidRPr="00FC5450" w:rsidRDefault="00976D72" w:rsidP="00D3440E">
      <w:pPr>
        <w:jc w:val="both"/>
      </w:pPr>
    </w:p>
    <w:p w14:paraId="2CB170BF" w14:textId="250EA76B" w:rsidR="00976D72" w:rsidRPr="00976D72" w:rsidRDefault="00227F19" w:rsidP="00D3440E">
      <w:pPr>
        <w:pStyle w:val="ListParagraph"/>
        <w:numPr>
          <w:ilvl w:val="0"/>
          <w:numId w:val="10"/>
        </w:numPr>
        <w:ind w:left="360"/>
        <w:jc w:val="both"/>
      </w:pPr>
      <w:r w:rsidRPr="00976D72">
        <w:t>Drug court p</w:t>
      </w:r>
      <w:r w:rsidR="00C75C88" w:rsidRPr="00976D72">
        <w:t>rocess</w:t>
      </w:r>
      <w:r w:rsidR="00F0753F">
        <w:t>es vary</w:t>
      </w:r>
      <w:r w:rsidRPr="00976D72">
        <w:t xml:space="preserve"> from court to court.  To deal with this the project identif</w:t>
      </w:r>
      <w:r w:rsidR="00976D72" w:rsidRPr="00976D72">
        <w:t>ied</w:t>
      </w:r>
      <w:r w:rsidRPr="00976D72">
        <w:t xml:space="preserve"> data points that were consistent</w:t>
      </w:r>
      <w:r w:rsidR="00976D72" w:rsidRPr="00976D72">
        <w:t>, as much as possible,</w:t>
      </w:r>
      <w:r w:rsidRPr="00976D72">
        <w:t xml:space="preserve"> from court to court.  </w:t>
      </w:r>
      <w:r w:rsidR="00976D72">
        <w:t xml:space="preserve">To understand the differences and how they fit with the drug court model, the </w:t>
      </w:r>
      <w:r w:rsidR="0009048F">
        <w:t xml:space="preserve">AOC therapeutic court team including the WSCCR </w:t>
      </w:r>
      <w:r w:rsidR="00976D72">
        <w:t>researcher visited courts to observe procedures and meet with drug court coordinators, judges and other members of drug court teams.</w:t>
      </w:r>
    </w:p>
    <w:p w14:paraId="2E3F266B" w14:textId="77777777" w:rsidR="00976D72" w:rsidRPr="00976D72" w:rsidRDefault="00976D72" w:rsidP="00D3440E">
      <w:pPr>
        <w:pStyle w:val="ListParagraph"/>
        <w:jc w:val="both"/>
      </w:pPr>
    </w:p>
    <w:p w14:paraId="47B19C97" w14:textId="3C020A36" w:rsidR="00C75C88" w:rsidRPr="00976D72" w:rsidRDefault="00F0753F" w:rsidP="00D3440E">
      <w:pPr>
        <w:ind w:left="360"/>
        <w:jc w:val="both"/>
        <w:rPr>
          <w:sz w:val="22"/>
        </w:rPr>
      </w:pPr>
      <w:r>
        <w:rPr>
          <w:sz w:val="22"/>
        </w:rPr>
        <w:t>Processes vary</w:t>
      </w:r>
      <w:r w:rsidR="00C75C88" w:rsidRPr="00976D72">
        <w:rPr>
          <w:sz w:val="22"/>
        </w:rPr>
        <w:t xml:space="preserve"> particularly with respect to program admission.  </w:t>
      </w:r>
      <w:r w:rsidR="00F51258" w:rsidRPr="00976D72">
        <w:rPr>
          <w:sz w:val="22"/>
        </w:rPr>
        <w:t xml:space="preserve">To mark when a participant entered a program, we tried to identify a participation start date, rather than the formal admission date.  </w:t>
      </w:r>
      <w:r w:rsidR="00214E52">
        <w:rPr>
          <w:sz w:val="22"/>
        </w:rPr>
        <w:t>A f</w:t>
      </w:r>
      <w:r w:rsidR="00C75C88" w:rsidRPr="00976D72">
        <w:rPr>
          <w:sz w:val="22"/>
        </w:rPr>
        <w:t>ormal admission</w:t>
      </w:r>
      <w:r w:rsidR="00214E52">
        <w:rPr>
          <w:sz w:val="22"/>
        </w:rPr>
        <w:t xml:space="preserve"> event</w:t>
      </w:r>
      <w:r w:rsidR="00C75C88" w:rsidRPr="00976D72">
        <w:rPr>
          <w:sz w:val="22"/>
        </w:rPr>
        <w:t xml:space="preserve"> in which the participant signs a contract is not necessarily in step with starting the program of treatment, periodic substance abuse testing, and monitoring by the court.  Some courts use an opt-in approach where the participant may start treatment, but does not start drug court until formally opting in.  Others have a period after the contract is signed in which the participant can opt out and return to the trial court with no contractual obligations.  Others have neither opt-in nor opt-out periods.</w:t>
      </w:r>
    </w:p>
    <w:p w14:paraId="03D13A84" w14:textId="77777777" w:rsidR="00976D72" w:rsidRPr="00976D72" w:rsidRDefault="00976D72" w:rsidP="00D3440E">
      <w:pPr>
        <w:ind w:left="360"/>
        <w:jc w:val="both"/>
        <w:rPr>
          <w:sz w:val="22"/>
        </w:rPr>
      </w:pPr>
    </w:p>
    <w:p w14:paraId="0CBE9A18" w14:textId="77777777" w:rsidR="00C75C88" w:rsidRPr="00976D72" w:rsidRDefault="00F51258" w:rsidP="00D3440E">
      <w:pPr>
        <w:pStyle w:val="ListParagraph"/>
        <w:numPr>
          <w:ilvl w:val="0"/>
          <w:numId w:val="10"/>
        </w:numPr>
        <w:ind w:left="360"/>
        <w:jc w:val="both"/>
      </w:pPr>
      <w:r w:rsidRPr="00976D72">
        <w:t>Some of the data provided were in raw extract form and had to be converted to the uniform statewide Excel format.</w:t>
      </w:r>
    </w:p>
    <w:p w14:paraId="072A50C8" w14:textId="77777777" w:rsidR="00D3440E" w:rsidRDefault="00D3440E"/>
    <w:p w14:paraId="7D69B5C2" w14:textId="77777777" w:rsidR="007B619E" w:rsidRDefault="007B619E"/>
    <w:p w14:paraId="5B6EE104" w14:textId="77777777" w:rsidR="00335CC1" w:rsidRPr="00FC5450" w:rsidRDefault="00335CC1" w:rsidP="00335CC1">
      <w:pPr>
        <w:rPr>
          <w:b/>
          <w:szCs w:val="24"/>
        </w:rPr>
      </w:pPr>
      <w:r w:rsidRPr="00FC5450">
        <w:rPr>
          <w:b/>
          <w:szCs w:val="24"/>
        </w:rPr>
        <w:t>Future Development</w:t>
      </w:r>
    </w:p>
    <w:p w14:paraId="47BB34F0" w14:textId="77777777" w:rsidR="00FF68CE" w:rsidRDefault="00BB7461" w:rsidP="00D3440E">
      <w:pPr>
        <w:jc w:val="both"/>
        <w:rPr>
          <w:sz w:val="22"/>
        </w:rPr>
      </w:pPr>
      <w:r w:rsidRPr="00BB7461">
        <w:rPr>
          <w:sz w:val="22"/>
        </w:rPr>
        <w:t xml:space="preserve">The next steps, </w:t>
      </w:r>
      <w:r>
        <w:rPr>
          <w:sz w:val="22"/>
        </w:rPr>
        <w:t>planned for 201</w:t>
      </w:r>
      <w:r w:rsidR="00B45DD9">
        <w:rPr>
          <w:sz w:val="22"/>
        </w:rPr>
        <w:t>6</w:t>
      </w:r>
      <w:r w:rsidRPr="00BB7461">
        <w:rPr>
          <w:sz w:val="22"/>
        </w:rPr>
        <w:t>, for data improvement include:</w:t>
      </w:r>
    </w:p>
    <w:p w14:paraId="73EAB6E6" w14:textId="77777777" w:rsidR="00BB7461" w:rsidRPr="00BB7461" w:rsidRDefault="00BB7461" w:rsidP="00D3440E">
      <w:pPr>
        <w:jc w:val="both"/>
        <w:rPr>
          <w:sz w:val="22"/>
        </w:rPr>
      </w:pPr>
    </w:p>
    <w:p w14:paraId="0E777BFC" w14:textId="77777777" w:rsidR="00DC43EC" w:rsidRPr="00226F70" w:rsidRDefault="00226F70" w:rsidP="00D3440E">
      <w:pPr>
        <w:pStyle w:val="ListParagraph"/>
        <w:keepNext/>
        <w:numPr>
          <w:ilvl w:val="0"/>
          <w:numId w:val="12"/>
        </w:numPr>
        <w:ind w:left="360"/>
        <w:jc w:val="both"/>
      </w:pPr>
      <w:r>
        <w:t>Build a data repository that the courts and AOC can use to obtain information on the adult drug courts.  C</w:t>
      </w:r>
      <w:r w:rsidR="00DC43EC" w:rsidRPr="00226F70">
        <w:t>ontinue to implement the standard set of data (based on standard d</w:t>
      </w:r>
      <w:r>
        <w:t>ata definitions) for each court</w:t>
      </w:r>
      <w:r w:rsidR="00DC43EC" w:rsidRPr="00226F70">
        <w:t>.</w:t>
      </w:r>
    </w:p>
    <w:p w14:paraId="18DC31B7" w14:textId="77777777" w:rsidR="003E49D6" w:rsidRPr="00D66FBB" w:rsidRDefault="003E49D6" w:rsidP="00D3440E">
      <w:pPr>
        <w:ind w:left="360"/>
        <w:jc w:val="both"/>
        <w:rPr>
          <w:highlight w:val="yellow"/>
        </w:rPr>
      </w:pPr>
    </w:p>
    <w:p w14:paraId="526BF1AD" w14:textId="77777777" w:rsidR="00DC43EC" w:rsidRPr="00226F70" w:rsidRDefault="00226F70" w:rsidP="00D3440E">
      <w:pPr>
        <w:pStyle w:val="ListParagraph"/>
        <w:numPr>
          <w:ilvl w:val="0"/>
          <w:numId w:val="12"/>
        </w:numPr>
        <w:ind w:left="360"/>
        <w:jc w:val="both"/>
      </w:pPr>
      <w:r>
        <w:t>P</w:t>
      </w:r>
      <w:r w:rsidR="00DC43EC" w:rsidRPr="00226F70">
        <w:t xml:space="preserve">rovide feedback to the local courts.  </w:t>
      </w:r>
      <w:r>
        <w:t>U</w:t>
      </w:r>
      <w:r w:rsidR="00DC43EC" w:rsidRPr="00226F70">
        <w:t xml:space="preserve">se </w:t>
      </w:r>
      <w:r w:rsidRPr="00226F70">
        <w:t xml:space="preserve">AOC feedback and local court review </w:t>
      </w:r>
      <w:r w:rsidR="00DC43EC" w:rsidRPr="00226F70">
        <w:t xml:space="preserve">to support data improvement.  The feedback will cover the validity and usefulness of the data.  The AOC will also provide assistance to the courts in order to improve the quality of their data.  </w:t>
      </w:r>
    </w:p>
    <w:p w14:paraId="12235C88" w14:textId="77777777" w:rsidR="00DC43EC" w:rsidRDefault="00DC43EC" w:rsidP="00D3440E">
      <w:pPr>
        <w:pStyle w:val="ListParagraph"/>
        <w:ind w:left="360"/>
        <w:jc w:val="both"/>
      </w:pPr>
    </w:p>
    <w:p w14:paraId="71A18959" w14:textId="77777777" w:rsidR="003E49D6" w:rsidRDefault="00DC43EC" w:rsidP="00D3440E">
      <w:pPr>
        <w:pStyle w:val="ListParagraph"/>
        <w:numPr>
          <w:ilvl w:val="0"/>
          <w:numId w:val="12"/>
        </w:numPr>
        <w:ind w:left="360"/>
        <w:jc w:val="both"/>
      </w:pPr>
      <w:r>
        <w:t>Based on what was learned in 20</w:t>
      </w:r>
      <w:r w:rsidR="00D66FBB">
        <w:t>15</w:t>
      </w:r>
      <w:r>
        <w:t xml:space="preserve">, </w:t>
      </w:r>
      <w:r w:rsidR="00D66FBB">
        <w:t xml:space="preserve">work with RDA to </w:t>
      </w:r>
      <w:r>
        <w:t>s</w:t>
      </w:r>
      <w:r w:rsidR="003E49D6">
        <w:t>et</w:t>
      </w:r>
      <w:r w:rsidR="00E4013E">
        <w:t xml:space="preserve"> </w:t>
      </w:r>
      <w:r w:rsidR="00D66FBB">
        <w:t xml:space="preserve">up and implement the 2016 </w:t>
      </w:r>
      <w:r w:rsidR="003E49D6">
        <w:t>data collection</w:t>
      </w:r>
      <w:r>
        <w:t>;</w:t>
      </w:r>
      <w:r w:rsidRPr="00DC43EC">
        <w:t xml:space="preserve"> </w:t>
      </w:r>
      <w:r>
        <w:t>provide technical assistance to courts that need help with data extracts.</w:t>
      </w:r>
    </w:p>
    <w:p w14:paraId="5D1F0128" w14:textId="77777777" w:rsidR="003E49D6" w:rsidRDefault="003E49D6" w:rsidP="00D3440E">
      <w:pPr>
        <w:jc w:val="both"/>
      </w:pPr>
    </w:p>
    <w:p w14:paraId="097C560B" w14:textId="77777777" w:rsidR="0011691C" w:rsidRDefault="003E49D6" w:rsidP="00D3440E">
      <w:pPr>
        <w:pStyle w:val="ListParagraph"/>
        <w:numPr>
          <w:ilvl w:val="0"/>
          <w:numId w:val="12"/>
        </w:numPr>
        <w:ind w:left="360"/>
        <w:jc w:val="both"/>
      </w:pPr>
      <w:r>
        <w:t>Develop 201</w:t>
      </w:r>
      <w:r w:rsidR="00D66FBB">
        <w:t>6</w:t>
      </w:r>
      <w:r>
        <w:t xml:space="preserve"> reports</w:t>
      </w:r>
      <w:r w:rsidR="00DC43EC">
        <w:t xml:space="preserve">; </w:t>
      </w:r>
      <w:r w:rsidR="00226F70">
        <w:t xml:space="preserve">as the available data grows to the point where more meaningful information can be provided, </w:t>
      </w:r>
      <w:r w:rsidR="00DC43EC">
        <w:t xml:space="preserve">continue to move to a standard </w:t>
      </w:r>
      <w:r w:rsidR="00FF68CE">
        <w:t xml:space="preserve">annual </w:t>
      </w:r>
      <w:r w:rsidR="00DC43EC">
        <w:t xml:space="preserve">report </w:t>
      </w:r>
      <w:r w:rsidR="00FF68CE">
        <w:t>on activity in adult drug courts</w:t>
      </w:r>
      <w:r w:rsidR="00DC43EC">
        <w:t>.</w:t>
      </w:r>
      <w:r w:rsidR="00226F70">
        <w:t xml:space="preserve">  </w:t>
      </w:r>
    </w:p>
    <w:p w14:paraId="01FD96CD" w14:textId="77777777" w:rsidR="00D95274" w:rsidRDefault="00D95274" w:rsidP="00D3440E">
      <w:pPr>
        <w:pStyle w:val="ListParagraph"/>
        <w:jc w:val="both"/>
      </w:pPr>
    </w:p>
    <w:p w14:paraId="788EEFCA" w14:textId="77777777" w:rsidR="00DC43EC" w:rsidRDefault="00226F70" w:rsidP="00D3440E">
      <w:pPr>
        <w:pStyle w:val="ListParagraph"/>
        <w:numPr>
          <w:ilvl w:val="0"/>
          <w:numId w:val="12"/>
        </w:numPr>
        <w:ind w:left="360"/>
        <w:jc w:val="both"/>
      </w:pPr>
      <w:r>
        <w:t xml:space="preserve">Based on user feedback, policy makers’ needs and national standards, refine and enhance reports.  </w:t>
      </w:r>
      <w:r w:rsidR="00D95274">
        <w:t xml:space="preserve">Add reports that breakdown participants by age, gender, race and ethnicity.  </w:t>
      </w:r>
    </w:p>
    <w:p w14:paraId="1E9216DE" w14:textId="77777777" w:rsidR="00DC43EC" w:rsidRDefault="00DC43EC" w:rsidP="00D3440E">
      <w:pPr>
        <w:keepNext/>
        <w:jc w:val="both"/>
      </w:pPr>
    </w:p>
    <w:p w14:paraId="6583FE37" w14:textId="77777777" w:rsidR="0066342B" w:rsidRDefault="0066342B" w:rsidP="00D3440E">
      <w:pPr>
        <w:tabs>
          <w:tab w:val="left" w:pos="1440"/>
        </w:tabs>
        <w:jc w:val="both"/>
        <w:sectPr w:rsidR="0066342B" w:rsidSect="008570B9">
          <w:footerReference w:type="default" r:id="rId11"/>
          <w:headerReference w:type="first" r:id="rId12"/>
          <w:footerReference w:type="first" r:id="rId13"/>
          <w:pgSz w:w="12240" w:h="15840"/>
          <w:pgMar w:top="1008" w:right="1440" w:bottom="720" w:left="1440" w:header="720" w:footer="720" w:gutter="0"/>
          <w:cols w:space="720"/>
          <w:titlePg/>
          <w:docGrid w:linePitch="360"/>
        </w:sectPr>
      </w:pPr>
    </w:p>
    <w:p w14:paraId="13BC6D55" w14:textId="77777777" w:rsidR="00874BC8" w:rsidRPr="007C66F6" w:rsidRDefault="007E4B44" w:rsidP="005D0DA9">
      <w:pPr>
        <w:rPr>
          <w:sz w:val="20"/>
          <w:szCs w:val="20"/>
        </w:rPr>
      </w:pPr>
      <w:r w:rsidRPr="007E4B44">
        <w:rPr>
          <w:noProof/>
          <w:sz w:val="20"/>
          <w:szCs w:val="20"/>
        </w:rPr>
        <w:drawing>
          <wp:inline distT="0" distB="0" distL="0" distR="0" wp14:anchorId="4F0D2AA0" wp14:editId="4729143E">
            <wp:extent cx="5943600" cy="7932725"/>
            <wp:effectExtent l="0" t="3810" r="0" b="0"/>
            <wp:docPr id="2" name="Picture 2" descr="N:\Therapeutic Courts\Data Improvement Project\Charts\Drug Court Process Overview v-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herapeutic Courts\Data Improvement Project\Charts\Drug Court Process Overview v-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5943600" cy="7932725"/>
                    </a:xfrm>
                    <a:prstGeom prst="rect">
                      <a:avLst/>
                    </a:prstGeom>
                    <a:noFill/>
                    <a:ln>
                      <a:noFill/>
                    </a:ln>
                  </pic:spPr>
                </pic:pic>
              </a:graphicData>
            </a:graphic>
          </wp:inline>
        </w:drawing>
      </w:r>
    </w:p>
    <w:sectPr w:rsidR="00874BC8" w:rsidRPr="007C66F6" w:rsidSect="00823163">
      <w:head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C1ED" w14:textId="77777777" w:rsidR="002D52D0" w:rsidRDefault="002D52D0" w:rsidP="00237B43">
      <w:r>
        <w:separator/>
      </w:r>
    </w:p>
  </w:endnote>
  <w:endnote w:type="continuationSeparator" w:id="0">
    <w:p w14:paraId="5544AEFA" w14:textId="77777777" w:rsidR="002D52D0" w:rsidRDefault="002D52D0" w:rsidP="00237B43">
      <w:r>
        <w:continuationSeparator/>
      </w:r>
    </w:p>
  </w:endnote>
  <w:endnote w:type="continuationNotice" w:id="1">
    <w:p w14:paraId="6F4AE092" w14:textId="77777777" w:rsidR="002D52D0" w:rsidRDefault="002D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CB1E5" w14:textId="77777777" w:rsidR="002A3827" w:rsidRDefault="002A3827">
    <w:pPr>
      <w:pStyle w:val="Footer"/>
      <w:jc w:val="center"/>
    </w:pPr>
  </w:p>
  <w:p w14:paraId="2CB18B70" w14:textId="77777777" w:rsidR="002A3827" w:rsidRDefault="0013217B">
    <w:pPr>
      <w:pStyle w:val="Footer"/>
      <w:jc w:val="center"/>
    </w:pPr>
    <w:sdt>
      <w:sdtPr>
        <w:id w:val="-1073192340"/>
        <w:docPartObj>
          <w:docPartGallery w:val="Page Numbers (Bottom of Page)"/>
          <w:docPartUnique/>
        </w:docPartObj>
      </w:sdtPr>
      <w:sdtEndPr>
        <w:rPr>
          <w:noProof/>
        </w:rPr>
      </w:sdtEndPr>
      <w:sdtContent>
        <w:r w:rsidR="00D67CE7">
          <w:fldChar w:fldCharType="begin"/>
        </w:r>
        <w:r w:rsidR="002A3827">
          <w:instrText xml:space="preserve"> PAGE   \* MERGEFORMAT </w:instrText>
        </w:r>
        <w:r w:rsidR="00D67CE7">
          <w:fldChar w:fldCharType="separate"/>
        </w:r>
        <w:r>
          <w:rPr>
            <w:noProof/>
          </w:rPr>
          <w:t>2</w:t>
        </w:r>
        <w:r w:rsidR="00D67CE7">
          <w:rPr>
            <w:noProof/>
          </w:rPr>
          <w:fldChar w:fldCharType="end"/>
        </w:r>
      </w:sdtContent>
    </w:sdt>
  </w:p>
  <w:p w14:paraId="323F1B3C" w14:textId="77777777" w:rsidR="002A3827" w:rsidRDefault="002A3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87197"/>
      <w:docPartObj>
        <w:docPartGallery w:val="Page Numbers (Bottom of Page)"/>
        <w:docPartUnique/>
      </w:docPartObj>
    </w:sdtPr>
    <w:sdtEndPr>
      <w:rPr>
        <w:noProof/>
      </w:rPr>
    </w:sdtEndPr>
    <w:sdtContent>
      <w:p w14:paraId="1A6623CF" w14:textId="77777777" w:rsidR="002A3827" w:rsidRDefault="002A3827">
        <w:pPr>
          <w:pStyle w:val="Footer"/>
          <w:jc w:val="center"/>
        </w:pPr>
      </w:p>
      <w:p w14:paraId="5B787E36" w14:textId="77777777" w:rsidR="00A72FA7" w:rsidRDefault="00D67CE7">
        <w:pPr>
          <w:pStyle w:val="Footer"/>
          <w:jc w:val="center"/>
        </w:pPr>
        <w:r>
          <w:fldChar w:fldCharType="begin"/>
        </w:r>
        <w:r w:rsidR="00A72FA7">
          <w:instrText xml:space="preserve"> PAGE   \* MERGEFORMAT </w:instrText>
        </w:r>
        <w:r>
          <w:fldChar w:fldCharType="separate"/>
        </w:r>
        <w:r w:rsidR="0013217B">
          <w:rPr>
            <w:noProof/>
          </w:rPr>
          <w:t>1</w:t>
        </w:r>
        <w:r>
          <w:rPr>
            <w:noProof/>
          </w:rPr>
          <w:fldChar w:fldCharType="end"/>
        </w:r>
      </w:p>
    </w:sdtContent>
  </w:sdt>
  <w:p w14:paraId="388EB86E" w14:textId="77777777" w:rsidR="00DF7456" w:rsidRDefault="00823163" w:rsidP="00823163">
    <w:pPr>
      <w:pStyle w:val="Footer"/>
      <w:tabs>
        <w:tab w:val="clear" w:pos="4680"/>
        <w:tab w:val="clear" w:pos="9360"/>
        <w:tab w:val="left" w:pos="25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6877B" w14:textId="77777777" w:rsidR="002D52D0" w:rsidRDefault="002D52D0" w:rsidP="00237B43">
      <w:r>
        <w:separator/>
      </w:r>
    </w:p>
  </w:footnote>
  <w:footnote w:type="continuationSeparator" w:id="0">
    <w:p w14:paraId="50DEDDA5" w14:textId="77777777" w:rsidR="002D52D0" w:rsidRDefault="002D52D0" w:rsidP="00237B43">
      <w:r>
        <w:continuationSeparator/>
      </w:r>
    </w:p>
  </w:footnote>
  <w:footnote w:type="continuationNotice" w:id="1">
    <w:p w14:paraId="79CA13AA" w14:textId="77777777" w:rsidR="002D52D0" w:rsidRDefault="002D52D0"/>
  </w:footnote>
  <w:footnote w:id="2">
    <w:p w14:paraId="691AD475" w14:textId="77777777" w:rsidR="000E0200" w:rsidRPr="00362640" w:rsidRDefault="000E0200" w:rsidP="000E0200">
      <w:pPr>
        <w:pStyle w:val="FootnoteText"/>
      </w:pPr>
      <w:r>
        <w:rPr>
          <w:rStyle w:val="FootnoteReference"/>
        </w:rPr>
        <w:footnoteRef/>
      </w:r>
      <w:r>
        <w:t xml:space="preserve"> Kroll, A. </w:t>
      </w:r>
      <w:r w:rsidRPr="00362640">
        <w:t>Exploring the Link between Performance Information Use and Organizational Performance: A Contingency Approach</w:t>
      </w:r>
      <w:r>
        <w:t xml:space="preserve">. forthcoming in </w:t>
      </w:r>
      <w:r w:rsidRPr="00362640">
        <w:rPr>
          <w:i/>
        </w:rPr>
        <w:t>Public Performance &amp; Management Review</w:t>
      </w:r>
      <w:r>
        <w:t xml:space="preserve"> (2014) (</w:t>
      </w:r>
      <w:hyperlink r:id="rId1" w:history="1">
        <w:r w:rsidRPr="00F7696E">
          <w:rPr>
            <w:rStyle w:val="Hyperlink"/>
          </w:rPr>
          <w:t>https://www.lafollette.wisc.edu/images/publications/PIP/Kroll_2014_PPMR.pdf</w:t>
        </w:r>
      </w:hyperlink>
      <w:r>
        <w:t>, accessed November 19, 2014).</w:t>
      </w:r>
    </w:p>
  </w:footnote>
  <w:footnote w:id="3">
    <w:p w14:paraId="45558D15" w14:textId="77777777" w:rsidR="00D90C60" w:rsidRDefault="00D90C60">
      <w:pPr>
        <w:pStyle w:val="FootnoteText"/>
      </w:pPr>
      <w:r>
        <w:rPr>
          <w:rStyle w:val="FootnoteReference"/>
        </w:rPr>
        <w:footnoteRef/>
      </w:r>
      <w:r>
        <w:t xml:space="preserve"> </w:t>
      </w:r>
      <w:r w:rsidRPr="00DB4C6D">
        <w:t>Carey, S. M., Mackin, J. R., &amp; Finigan, M. W.</w:t>
      </w:r>
      <w:r w:rsidR="00AD4F0F">
        <w:t>:</w:t>
      </w:r>
      <w:r w:rsidRPr="00DB4C6D">
        <w:t xml:space="preserve"> What Works? The Ten Key Components of Drug Court: Research-Based Best Practices</w:t>
      </w:r>
      <w:r w:rsidR="00AD4F0F">
        <w:t>.</w:t>
      </w:r>
      <w:r w:rsidRPr="00DB4C6D">
        <w:t xml:space="preserve"> </w:t>
      </w:r>
      <w:r w:rsidRPr="00D90C60">
        <w:rPr>
          <w:i/>
        </w:rPr>
        <w:t>Drug Court Review</w:t>
      </w:r>
      <w:r w:rsidR="00362640">
        <w:rPr>
          <w:i/>
        </w:rPr>
        <w:t xml:space="preserve"> </w:t>
      </w:r>
      <w:r w:rsidR="00AD4F0F">
        <w:t>(2012)</w:t>
      </w:r>
      <w:r w:rsidR="00362640">
        <w:t>, 8:1</w:t>
      </w:r>
      <w:r w:rsidRPr="00DB4C6D">
        <w:t>, 6-42 (</w:t>
      </w:r>
      <w:hyperlink r:id="rId2" w:history="1">
        <w:r w:rsidRPr="00DB4C6D">
          <w:rPr>
            <w:rStyle w:val="Hyperlink"/>
          </w:rPr>
          <w:t>http://www.npcresearch.com/Files/Best_practices_in_drug_courts_2012.pdf</w:t>
        </w:r>
      </w:hyperlink>
      <w:r>
        <w:t>, accessed November 19, 2014).</w:t>
      </w:r>
    </w:p>
  </w:footnote>
  <w:footnote w:id="4">
    <w:p w14:paraId="7E122CC7" w14:textId="77777777" w:rsidR="00D90C60" w:rsidRDefault="00D90C60">
      <w:pPr>
        <w:pStyle w:val="FootnoteText"/>
      </w:pPr>
      <w:r>
        <w:rPr>
          <w:rStyle w:val="FootnoteReference"/>
        </w:rPr>
        <w:footnoteRef/>
      </w:r>
      <w:r>
        <w:t xml:space="preserve"> Ibid., 27.</w:t>
      </w:r>
    </w:p>
  </w:footnote>
  <w:footnote w:id="5">
    <w:p w14:paraId="1A4CB971" w14:textId="77777777" w:rsidR="00ED6EA3" w:rsidRDefault="00ED6EA3">
      <w:pPr>
        <w:pStyle w:val="FootnoteText"/>
      </w:pPr>
      <w:r>
        <w:rPr>
          <w:rStyle w:val="FootnoteReference"/>
        </w:rPr>
        <w:footnoteRef/>
      </w:r>
      <w:r w:rsidR="00D90C60">
        <w:t xml:space="preserve"> Ibid., 26.</w:t>
      </w:r>
    </w:p>
  </w:footnote>
  <w:footnote w:id="6">
    <w:p w14:paraId="0C72F44D" w14:textId="77777777" w:rsidR="00796B20" w:rsidRDefault="00796B20">
      <w:pPr>
        <w:pStyle w:val="FootnoteText"/>
      </w:pPr>
      <w:r>
        <w:rPr>
          <w:rStyle w:val="FootnoteReference"/>
        </w:rPr>
        <w:footnoteRef/>
      </w:r>
      <w:r w:rsidR="001E0733">
        <w:t xml:space="preserve"> </w:t>
      </w:r>
      <w:r w:rsidR="00A77E4A" w:rsidRPr="00A77E4A">
        <w:t>Rossman, Shelli B., John K. Roman, Janine M. Zweig, Michael Rempel, and Christine H. Lindquist. Multi-Site Adult Drug Court Evaluation (MADCE), 2003-2009</w:t>
      </w:r>
      <w:r w:rsidR="00A77E4A">
        <w:t>, 3:101</w:t>
      </w:r>
      <w:r>
        <w:t>.</w:t>
      </w:r>
    </w:p>
  </w:footnote>
  <w:footnote w:id="7">
    <w:p w14:paraId="3112F60E" w14:textId="77E402F4" w:rsidR="00BA3077" w:rsidRDefault="00BA3077">
      <w:pPr>
        <w:pStyle w:val="FootnoteText"/>
      </w:pPr>
      <w:r>
        <w:rPr>
          <w:rStyle w:val="FootnoteReference"/>
        </w:rPr>
        <w:footnoteRef/>
      </w:r>
      <w:r>
        <w:t xml:space="preserve"> </w:t>
      </w:r>
      <w:r w:rsidRPr="0064181E">
        <w:t>Data on whether a participant had an active bench warrant at 6 or 18 months were not available.  Data on whether a participant had a bench warrant at the end of 2014 were available and are reported below.  Since many participants with bench warrants are terminated after they are brought into custody or otherwise do not continue the drug court program, the actual retention rates are likely inflated.  However, because othe</w:t>
      </w:r>
      <w:r w:rsidR="00743631">
        <w:t xml:space="preserve">r participants with bench warrants continue </w:t>
      </w:r>
      <w:r w:rsidRPr="0064181E">
        <w:t xml:space="preserve">their programs after they are taken into custody, not including them as active </w:t>
      </w:r>
      <w:r w:rsidR="002640B4">
        <w:t xml:space="preserve">would </w:t>
      </w:r>
      <w:r w:rsidRPr="0064181E">
        <w:t>understate the retention rate.</w:t>
      </w:r>
      <w:r w:rsidR="00181722">
        <w:t xml:space="preserve">  </w:t>
      </w:r>
      <w:r w:rsidR="00D84B51">
        <w:t>The inability to distinguish which cases have bench warrants means the operational definition of active here is different from the definition of active on page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CC0E" w14:textId="09655090" w:rsidR="00C72771" w:rsidRPr="00F13453" w:rsidRDefault="00C72771" w:rsidP="00C72771">
    <w:pPr>
      <w:spacing w:before="440"/>
      <w:ind w:left="1354" w:right="2736"/>
      <w:rPr>
        <w:rFonts w:ascii="Cambria" w:eastAsia="Cambria" w:hAnsi="Cambria" w:cs="Cambria"/>
        <w:i/>
        <w:color w:val="403152" w:themeColor="accent4" w:themeShade="80"/>
        <w:sz w:val="40"/>
        <w:szCs w:val="44"/>
      </w:rPr>
    </w:pPr>
    <w:r w:rsidRPr="00F13453">
      <w:rPr>
        <w:rFonts w:ascii="Cambria" w:eastAsia="Cambria" w:hAnsi="Cambria" w:cs="Cambria"/>
        <w:i/>
        <w:noProof/>
        <w:color w:val="403152" w:themeColor="accent4" w:themeShade="80"/>
        <w:sz w:val="40"/>
        <w:szCs w:val="44"/>
      </w:rPr>
      <w:drawing>
        <wp:anchor distT="0" distB="0" distL="114300" distR="114300" simplePos="0" relativeHeight="251658240" behindDoc="0" locked="0" layoutInCell="1" allowOverlap="1" wp14:anchorId="72A8C4AD" wp14:editId="4F8E1D01">
          <wp:simplePos x="0" y="0"/>
          <wp:positionH relativeFrom="column">
            <wp:posOffset>-162046</wp:posOffset>
          </wp:positionH>
          <wp:positionV relativeFrom="paragraph">
            <wp:posOffset>-13646</wp:posOffset>
          </wp:positionV>
          <wp:extent cx="970059" cy="906449"/>
          <wp:effectExtent l="0" t="0" r="1905" b="8255"/>
          <wp:wrapNone/>
          <wp:docPr id="3" name="Picture 3" descr="White logo copy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ogo copy smaller.png"/>
                  <pic:cNvPicPr/>
                </pic:nvPicPr>
                <pic:blipFill>
                  <a:blip r:embed="rId1"/>
                  <a:srcRect l="10294" b="7317"/>
                  <a:stretch>
                    <a:fillRect/>
                  </a:stretch>
                </pic:blipFill>
                <pic:spPr>
                  <a:xfrm>
                    <a:off x="0" y="0"/>
                    <a:ext cx="970059" cy="906449"/>
                  </a:xfrm>
                  <a:prstGeom prst="rect">
                    <a:avLst/>
                  </a:prstGeom>
                  <a:solidFill>
                    <a:srgbClr val="403152"/>
                  </a:solidFill>
                </pic:spPr>
              </pic:pic>
            </a:graphicData>
          </a:graphic>
        </wp:anchor>
      </w:drawing>
    </w:r>
    <w:r w:rsidRPr="00F13453">
      <w:rPr>
        <w:rFonts w:ascii="Cambria" w:eastAsia="Cambria" w:hAnsi="Cambria" w:cs="Cambria"/>
        <w:i/>
        <w:noProof/>
        <w:color w:val="403152" w:themeColor="accent4" w:themeShade="80"/>
        <w:sz w:val="40"/>
        <w:szCs w:val="44"/>
      </w:rPr>
      <w:drawing>
        <wp:anchor distT="0" distB="0" distL="114300" distR="114300" simplePos="0" relativeHeight="251657216" behindDoc="0" locked="0" layoutInCell="1" allowOverlap="1" wp14:anchorId="19FB8875" wp14:editId="61AEA2DB">
          <wp:simplePos x="0" y="0"/>
          <wp:positionH relativeFrom="column">
            <wp:posOffset>-162046</wp:posOffset>
          </wp:positionH>
          <wp:positionV relativeFrom="paragraph">
            <wp:posOffset>-26386</wp:posOffset>
          </wp:positionV>
          <wp:extent cx="970059" cy="906449"/>
          <wp:effectExtent l="0" t="0" r="0" b="0"/>
          <wp:wrapNone/>
          <wp:docPr id="1" name="Picture 3" descr="White logo copy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ogo copy smaller.png"/>
                  <pic:cNvPicPr/>
                </pic:nvPicPr>
                <pic:blipFill>
                  <a:blip r:embed="rId1"/>
                  <a:srcRect l="10294" b="7317"/>
                  <a:stretch>
                    <a:fillRect/>
                  </a:stretch>
                </pic:blipFill>
                <pic:spPr>
                  <a:xfrm>
                    <a:off x="0" y="0"/>
                    <a:ext cx="970059" cy="906449"/>
                  </a:xfrm>
                  <a:prstGeom prst="rect">
                    <a:avLst/>
                  </a:prstGeom>
                </pic:spPr>
              </pic:pic>
            </a:graphicData>
          </a:graphic>
        </wp:anchor>
      </w:drawing>
    </w:r>
    <w:r w:rsidRPr="00C72771">
      <w:rPr>
        <w:rFonts w:ascii="Cambria" w:eastAsia="Cambria" w:hAnsi="Cambria" w:cs="Cambria"/>
        <w:i/>
        <w:color w:val="403152" w:themeColor="accent4" w:themeShade="80"/>
        <w:sz w:val="40"/>
        <w:szCs w:val="44"/>
      </w:rPr>
      <w:t xml:space="preserve"> </w:t>
    </w:r>
    <w:r w:rsidRPr="00F13453">
      <w:rPr>
        <w:rFonts w:ascii="Cambria" w:eastAsia="Cambria" w:hAnsi="Cambria" w:cs="Cambria"/>
        <w:i/>
        <w:color w:val="403152" w:themeColor="accent4" w:themeShade="80"/>
        <w:sz w:val="40"/>
        <w:szCs w:val="44"/>
      </w:rPr>
      <w:t xml:space="preserve">Washington State </w:t>
    </w:r>
  </w:p>
  <w:p w14:paraId="04D50A35" w14:textId="77777777" w:rsidR="00C72771" w:rsidRPr="00F13453" w:rsidRDefault="00BA035E" w:rsidP="00C72771">
    <w:pPr>
      <w:widowControl w:val="0"/>
      <w:spacing w:after="120"/>
      <w:ind w:left="1354" w:right="2736"/>
      <w:rPr>
        <w:rFonts w:ascii="Cambria" w:eastAsia="Cambria" w:hAnsi="Cambria" w:cs="Cambria"/>
        <w:b/>
        <w:color w:val="403152" w:themeColor="accent4" w:themeShade="80"/>
        <w:sz w:val="40"/>
        <w:szCs w:val="44"/>
      </w:rPr>
    </w:pPr>
    <w:r>
      <w:rPr>
        <w:rFonts w:ascii="Cambria" w:eastAsia="Cambria" w:hAnsi="Cambria" w:cs="Cambria"/>
        <w:noProof/>
        <w:sz w:val="28"/>
        <w:szCs w:val="28"/>
      </w:rPr>
      <mc:AlternateContent>
        <mc:Choice Requires="wps">
          <w:drawing>
            <wp:anchor distT="4294967295" distB="4294967295" distL="114300" distR="114300" simplePos="0" relativeHeight="251656192" behindDoc="0" locked="0" layoutInCell="1" allowOverlap="1" wp14:anchorId="03AA87CD" wp14:editId="40286797">
              <wp:simplePos x="0" y="0"/>
              <wp:positionH relativeFrom="margin">
                <wp:posOffset>-158750</wp:posOffset>
              </wp:positionH>
              <wp:positionV relativeFrom="paragraph">
                <wp:posOffset>313689</wp:posOffset>
              </wp:positionV>
              <wp:extent cx="6858000" cy="0"/>
              <wp:effectExtent l="0" t="1905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28575">
                        <a:solidFill>
                          <a:schemeClr val="accent4">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6A1CF9" id="_x0000_t32" coordsize="21600,21600" o:spt="32" o:oned="t" path="m,l21600,21600e" filled="f">
              <v:path arrowok="t" fillok="f" o:connecttype="none"/>
              <o:lock v:ext="edit" shapetype="t"/>
            </v:shapetype>
            <v:shape id="Straight Arrow Connector 11" o:spid="_x0000_s1026" type="#_x0000_t32" style="position:absolute;margin-left:-12.5pt;margin-top:24.7pt;width:540pt;height:0;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" strokecolor="#3f3151 [1607]" strokeweight="2.25pt">
              <v:shadow color="#3f3151 [1607]" opacity=".5" offset="1pt"/>
              <w10:wrap anchorx="margin"/>
            </v:shape>
          </w:pict>
        </mc:Fallback>
      </mc:AlternateContent>
    </w:r>
    <w:r w:rsidR="00C72771" w:rsidRPr="00F13453">
      <w:rPr>
        <w:rFonts w:ascii="Cambria" w:eastAsia="Cambria" w:hAnsi="Cambria" w:cs="Cambria"/>
        <w:b/>
        <w:color w:val="403152" w:themeColor="accent4" w:themeShade="80"/>
        <w:sz w:val="40"/>
        <w:szCs w:val="44"/>
      </w:rPr>
      <w:t xml:space="preserve">Center for Court </w:t>
    </w:r>
    <w:r w:rsidR="00C72771" w:rsidRPr="00C72771">
      <w:rPr>
        <w:rFonts w:ascii="Cambria" w:eastAsia="Cambria" w:hAnsi="Cambria" w:cs="Cambria"/>
        <w:b/>
        <w:color w:val="403152"/>
        <w:sz w:val="40"/>
        <w:szCs w:val="44"/>
      </w:rPr>
      <w:t>Research</w:t>
    </w:r>
  </w:p>
  <w:p w14:paraId="7BF553EA" w14:textId="77777777" w:rsidR="007A0520" w:rsidRDefault="007A0520" w:rsidP="007A0520">
    <w:pPr>
      <w:jc w:val="center"/>
      <w:rPr>
        <w:rFonts w:ascii="Times New Roman" w:hAnsi="Times New Roman" w:cs="Times New Roman"/>
        <w:color w:val="403152"/>
        <w:sz w:val="28"/>
        <w:szCs w:val="28"/>
      </w:rPr>
    </w:pPr>
    <w:r w:rsidRPr="008C0E75">
      <w:rPr>
        <w:rFonts w:ascii="Times New Roman" w:hAnsi="Times New Roman" w:cs="Times New Roman"/>
        <w:color w:val="403152"/>
        <w:sz w:val="28"/>
        <w:szCs w:val="28"/>
      </w:rPr>
      <w:t xml:space="preserve">Adult Drug Court </w:t>
    </w:r>
    <w:r w:rsidR="003E3FCF">
      <w:rPr>
        <w:rFonts w:ascii="Times New Roman" w:hAnsi="Times New Roman" w:cs="Times New Roman"/>
        <w:color w:val="403152"/>
        <w:sz w:val="28"/>
        <w:szCs w:val="28"/>
      </w:rPr>
      <w:t>2015</w:t>
    </w:r>
    <w:r w:rsidRPr="008C0E75">
      <w:rPr>
        <w:rFonts w:ascii="Times New Roman" w:hAnsi="Times New Roman" w:cs="Times New Roman"/>
        <w:color w:val="403152"/>
        <w:sz w:val="28"/>
        <w:szCs w:val="28"/>
      </w:rPr>
      <w:t xml:space="preserve"> Data Improvement Report</w:t>
    </w:r>
  </w:p>
  <w:p w14:paraId="0DA12ED9" w14:textId="77777777" w:rsidR="007A0520" w:rsidRDefault="003E3FCF" w:rsidP="007A0520">
    <w:pPr>
      <w:jc w:val="center"/>
      <w:rPr>
        <w:rFonts w:ascii="Times New Roman" w:hAnsi="Times New Roman" w:cs="Times New Roman"/>
        <w:color w:val="403152"/>
        <w:sz w:val="28"/>
        <w:szCs w:val="28"/>
      </w:rPr>
    </w:pPr>
    <w:r>
      <w:rPr>
        <w:rFonts w:ascii="Times New Roman" w:hAnsi="Times New Roman" w:cs="Times New Roman"/>
        <w:color w:val="403152"/>
        <w:sz w:val="28"/>
        <w:szCs w:val="28"/>
      </w:rPr>
      <w:t>June 2015</w:t>
    </w:r>
  </w:p>
  <w:p w14:paraId="7B8EF19A" w14:textId="77777777" w:rsidR="00D3440E" w:rsidRDefault="00D3440E" w:rsidP="007A0520">
    <w:pPr>
      <w:jc w:val="center"/>
      <w:rPr>
        <w:rFonts w:ascii="Times New Roman" w:hAnsi="Times New Roman" w:cs="Times New Roman"/>
        <w:i/>
        <w:color w:val="403152"/>
        <w:szCs w:val="24"/>
      </w:rPr>
    </w:pPr>
    <w:r>
      <w:rPr>
        <w:rFonts w:ascii="Times New Roman" w:hAnsi="Times New Roman" w:cs="Times New Roman"/>
        <w:i/>
        <w:color w:val="403152"/>
        <w:szCs w:val="24"/>
      </w:rPr>
      <w:t xml:space="preserve">Brian Backus </w:t>
    </w:r>
  </w:p>
  <w:p w14:paraId="35D798AF" w14:textId="77777777" w:rsidR="002776BD" w:rsidRPr="007A0520" w:rsidRDefault="00D3440E" w:rsidP="007A0520">
    <w:pPr>
      <w:jc w:val="center"/>
      <w:rPr>
        <w:rFonts w:ascii="Times New Roman" w:hAnsi="Times New Roman" w:cs="Times New Roman"/>
        <w:i/>
        <w:color w:val="403152"/>
        <w:szCs w:val="24"/>
      </w:rPr>
    </w:pPr>
    <w:r>
      <w:rPr>
        <w:rFonts w:ascii="Times New Roman" w:hAnsi="Times New Roman" w:cs="Times New Roman"/>
        <w:i/>
        <w:color w:val="403152"/>
        <w:szCs w:val="24"/>
      </w:rPr>
      <w:t>Senior Research Associate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25950" w14:textId="77777777" w:rsidR="00E97876" w:rsidRPr="005D3F1A" w:rsidRDefault="00E97876" w:rsidP="005D0DA9">
    <w:pPr>
      <w:tabs>
        <w:tab w:val="left" w:pos="1440"/>
      </w:tabs>
      <w:rPr>
        <w:sz w:val="28"/>
        <w:szCs w:val="28"/>
      </w:rPr>
    </w:pPr>
    <w:r w:rsidRPr="005D3F1A">
      <w:rPr>
        <w:sz w:val="28"/>
        <w:szCs w:val="28"/>
      </w:rPr>
      <w:t xml:space="preserve">Appendix </w:t>
    </w:r>
    <w:r w:rsidR="00FE2157">
      <w:rPr>
        <w:sz w:val="28"/>
        <w:szCs w:val="28"/>
      </w:rPr>
      <w:t>A</w:t>
    </w:r>
  </w:p>
  <w:p w14:paraId="4C994B85" w14:textId="77777777" w:rsidR="00E97876" w:rsidRDefault="00E97876" w:rsidP="00237B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65618"/>
    <w:multiLevelType w:val="hybridMultilevel"/>
    <w:tmpl w:val="3D2E5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30667F"/>
    <w:multiLevelType w:val="hybridMultilevel"/>
    <w:tmpl w:val="FFEA71E8"/>
    <w:lvl w:ilvl="0" w:tplc="BDB433EA">
      <w:start w:val="2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16C90"/>
    <w:multiLevelType w:val="hybridMultilevel"/>
    <w:tmpl w:val="35A2D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292F02"/>
    <w:multiLevelType w:val="hybridMultilevel"/>
    <w:tmpl w:val="DA5CB9D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1554BE"/>
    <w:multiLevelType w:val="hybridMultilevel"/>
    <w:tmpl w:val="9AFAF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10590"/>
    <w:multiLevelType w:val="hybridMultilevel"/>
    <w:tmpl w:val="507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177C5"/>
    <w:multiLevelType w:val="hybridMultilevel"/>
    <w:tmpl w:val="30DA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A32F5"/>
    <w:multiLevelType w:val="hybridMultilevel"/>
    <w:tmpl w:val="34DE8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731FC7"/>
    <w:multiLevelType w:val="hybridMultilevel"/>
    <w:tmpl w:val="80FC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C6FD1"/>
    <w:multiLevelType w:val="hybridMultilevel"/>
    <w:tmpl w:val="D4542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F01AD8"/>
    <w:multiLevelType w:val="hybridMultilevel"/>
    <w:tmpl w:val="F188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ED3564"/>
    <w:multiLevelType w:val="hybridMultilevel"/>
    <w:tmpl w:val="2306165A"/>
    <w:lvl w:ilvl="0" w:tplc="6F381ABC">
      <w:numFmt w:val="bullet"/>
      <w:lvlText w:val=""/>
      <w:lvlJc w:val="left"/>
      <w:pPr>
        <w:ind w:left="780" w:hanging="420"/>
      </w:pPr>
      <w:rPr>
        <w:rFonts w:ascii="Symbol" w:eastAsiaTheme="minorHAnsi" w:hAnsi="Symbol" w:cstheme="minorBid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742BE"/>
    <w:multiLevelType w:val="hybridMultilevel"/>
    <w:tmpl w:val="2F3EE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B75BAE"/>
    <w:multiLevelType w:val="hybridMultilevel"/>
    <w:tmpl w:val="BF084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B755D"/>
    <w:multiLevelType w:val="hybridMultilevel"/>
    <w:tmpl w:val="5E7659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67829F6"/>
    <w:multiLevelType w:val="hybridMultilevel"/>
    <w:tmpl w:val="08F88AF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7D49317E"/>
    <w:multiLevelType w:val="hybridMultilevel"/>
    <w:tmpl w:val="DB0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D7758"/>
    <w:multiLevelType w:val="hybridMultilevel"/>
    <w:tmpl w:val="8B8E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
  </w:num>
  <w:num w:numId="4">
    <w:abstractNumId w:val="9"/>
  </w:num>
  <w:num w:numId="5">
    <w:abstractNumId w:val="4"/>
  </w:num>
  <w:num w:numId="6">
    <w:abstractNumId w:val="10"/>
  </w:num>
  <w:num w:numId="7">
    <w:abstractNumId w:val="15"/>
  </w:num>
  <w:num w:numId="8">
    <w:abstractNumId w:val="0"/>
  </w:num>
  <w:num w:numId="9">
    <w:abstractNumId w:val="5"/>
  </w:num>
  <w:num w:numId="10">
    <w:abstractNumId w:val="16"/>
  </w:num>
  <w:num w:numId="11">
    <w:abstractNumId w:val="8"/>
  </w:num>
  <w:num w:numId="12">
    <w:abstractNumId w:val="12"/>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7"/>
  </w:num>
  <w:num w:numId="17">
    <w:abstractNumId w:val="1"/>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43"/>
    <w:rsid w:val="000109C7"/>
    <w:rsid w:val="000209EC"/>
    <w:rsid w:val="00020A71"/>
    <w:rsid w:val="000245E1"/>
    <w:rsid w:val="0003079B"/>
    <w:rsid w:val="00043A2A"/>
    <w:rsid w:val="00054808"/>
    <w:rsid w:val="00060A1A"/>
    <w:rsid w:val="00067E37"/>
    <w:rsid w:val="00072950"/>
    <w:rsid w:val="00085275"/>
    <w:rsid w:val="00086CEE"/>
    <w:rsid w:val="0009048F"/>
    <w:rsid w:val="000A2F14"/>
    <w:rsid w:val="000A39A9"/>
    <w:rsid w:val="000E0200"/>
    <w:rsid w:val="001029F6"/>
    <w:rsid w:val="00106370"/>
    <w:rsid w:val="00107B66"/>
    <w:rsid w:val="00114A39"/>
    <w:rsid w:val="001155A3"/>
    <w:rsid w:val="0011691C"/>
    <w:rsid w:val="00116F52"/>
    <w:rsid w:val="0013217B"/>
    <w:rsid w:val="00141956"/>
    <w:rsid w:val="00146B3C"/>
    <w:rsid w:val="00162C10"/>
    <w:rsid w:val="001652F6"/>
    <w:rsid w:val="00171EB7"/>
    <w:rsid w:val="001730AF"/>
    <w:rsid w:val="00181722"/>
    <w:rsid w:val="00185F78"/>
    <w:rsid w:val="00192BAC"/>
    <w:rsid w:val="00195944"/>
    <w:rsid w:val="001A0173"/>
    <w:rsid w:val="001A01D7"/>
    <w:rsid w:val="001A5B3D"/>
    <w:rsid w:val="001B048A"/>
    <w:rsid w:val="001B3118"/>
    <w:rsid w:val="001B6BE0"/>
    <w:rsid w:val="001C2AAB"/>
    <w:rsid w:val="001C2E33"/>
    <w:rsid w:val="001D31BA"/>
    <w:rsid w:val="001E0733"/>
    <w:rsid w:val="001E083F"/>
    <w:rsid w:val="001E7024"/>
    <w:rsid w:val="001F38AE"/>
    <w:rsid w:val="00213CD4"/>
    <w:rsid w:val="00214E52"/>
    <w:rsid w:val="0021513F"/>
    <w:rsid w:val="00226F70"/>
    <w:rsid w:val="00227F19"/>
    <w:rsid w:val="002329D2"/>
    <w:rsid w:val="00236863"/>
    <w:rsid w:val="00237B43"/>
    <w:rsid w:val="002470CA"/>
    <w:rsid w:val="00257162"/>
    <w:rsid w:val="002640B4"/>
    <w:rsid w:val="002776BD"/>
    <w:rsid w:val="0028413D"/>
    <w:rsid w:val="00290F92"/>
    <w:rsid w:val="002945E2"/>
    <w:rsid w:val="00295661"/>
    <w:rsid w:val="002A3827"/>
    <w:rsid w:val="002A507C"/>
    <w:rsid w:val="002A6B00"/>
    <w:rsid w:val="002B53EB"/>
    <w:rsid w:val="002C75CA"/>
    <w:rsid w:val="002D1AF0"/>
    <w:rsid w:val="002D52D0"/>
    <w:rsid w:val="002F5ACD"/>
    <w:rsid w:val="00305412"/>
    <w:rsid w:val="003127D3"/>
    <w:rsid w:val="00322D34"/>
    <w:rsid w:val="00323361"/>
    <w:rsid w:val="00335CC1"/>
    <w:rsid w:val="00345718"/>
    <w:rsid w:val="0035687E"/>
    <w:rsid w:val="00361F0D"/>
    <w:rsid w:val="00362640"/>
    <w:rsid w:val="00362D0D"/>
    <w:rsid w:val="00363C5D"/>
    <w:rsid w:val="003765F2"/>
    <w:rsid w:val="00397347"/>
    <w:rsid w:val="003A4621"/>
    <w:rsid w:val="003B67C0"/>
    <w:rsid w:val="003B746E"/>
    <w:rsid w:val="003C612D"/>
    <w:rsid w:val="003D1E7F"/>
    <w:rsid w:val="003E3FCF"/>
    <w:rsid w:val="003E49D6"/>
    <w:rsid w:val="003F04D1"/>
    <w:rsid w:val="003F2BEA"/>
    <w:rsid w:val="003F49F3"/>
    <w:rsid w:val="00400733"/>
    <w:rsid w:val="0043048A"/>
    <w:rsid w:val="00430896"/>
    <w:rsid w:val="0044195D"/>
    <w:rsid w:val="004665BA"/>
    <w:rsid w:val="00471383"/>
    <w:rsid w:val="00471426"/>
    <w:rsid w:val="004724E6"/>
    <w:rsid w:val="00477B8A"/>
    <w:rsid w:val="0048592E"/>
    <w:rsid w:val="00486C0C"/>
    <w:rsid w:val="00490146"/>
    <w:rsid w:val="004B218F"/>
    <w:rsid w:val="004D5DD1"/>
    <w:rsid w:val="004D5FF0"/>
    <w:rsid w:val="00506BD5"/>
    <w:rsid w:val="005074C5"/>
    <w:rsid w:val="00507AB9"/>
    <w:rsid w:val="005316FC"/>
    <w:rsid w:val="0055434F"/>
    <w:rsid w:val="005550ED"/>
    <w:rsid w:val="0056296C"/>
    <w:rsid w:val="005629FF"/>
    <w:rsid w:val="00566301"/>
    <w:rsid w:val="00580BCE"/>
    <w:rsid w:val="0059317F"/>
    <w:rsid w:val="005B15F2"/>
    <w:rsid w:val="005B4A48"/>
    <w:rsid w:val="005C6EEC"/>
    <w:rsid w:val="005D0DA9"/>
    <w:rsid w:val="005D3F1A"/>
    <w:rsid w:val="005E5D17"/>
    <w:rsid w:val="005F48B4"/>
    <w:rsid w:val="005F4CE3"/>
    <w:rsid w:val="006010ED"/>
    <w:rsid w:val="00602A46"/>
    <w:rsid w:val="006106A1"/>
    <w:rsid w:val="00610DDF"/>
    <w:rsid w:val="00630EDE"/>
    <w:rsid w:val="006347A8"/>
    <w:rsid w:val="0064181E"/>
    <w:rsid w:val="006625E7"/>
    <w:rsid w:val="0066342B"/>
    <w:rsid w:val="00671EEC"/>
    <w:rsid w:val="00677D94"/>
    <w:rsid w:val="006814A3"/>
    <w:rsid w:val="006814F2"/>
    <w:rsid w:val="006874EA"/>
    <w:rsid w:val="00687E8C"/>
    <w:rsid w:val="00690FF6"/>
    <w:rsid w:val="006A6421"/>
    <w:rsid w:val="006C08A2"/>
    <w:rsid w:val="006C3CA7"/>
    <w:rsid w:val="006D19AA"/>
    <w:rsid w:val="006D24B8"/>
    <w:rsid w:val="006D33EE"/>
    <w:rsid w:val="006E3EE5"/>
    <w:rsid w:val="006E7B8C"/>
    <w:rsid w:val="006F5587"/>
    <w:rsid w:val="007221C1"/>
    <w:rsid w:val="00727683"/>
    <w:rsid w:val="007342DB"/>
    <w:rsid w:val="00734A21"/>
    <w:rsid w:val="00741367"/>
    <w:rsid w:val="00743631"/>
    <w:rsid w:val="00746177"/>
    <w:rsid w:val="0075014F"/>
    <w:rsid w:val="00762F74"/>
    <w:rsid w:val="00770B92"/>
    <w:rsid w:val="00772861"/>
    <w:rsid w:val="007772CE"/>
    <w:rsid w:val="007857CC"/>
    <w:rsid w:val="00796B20"/>
    <w:rsid w:val="007A0341"/>
    <w:rsid w:val="007A0520"/>
    <w:rsid w:val="007A7CE3"/>
    <w:rsid w:val="007B619E"/>
    <w:rsid w:val="007C66F6"/>
    <w:rsid w:val="007C71A5"/>
    <w:rsid w:val="007E07C5"/>
    <w:rsid w:val="007E4B44"/>
    <w:rsid w:val="00810908"/>
    <w:rsid w:val="00812010"/>
    <w:rsid w:val="00823163"/>
    <w:rsid w:val="00825A97"/>
    <w:rsid w:val="00830A87"/>
    <w:rsid w:val="00844541"/>
    <w:rsid w:val="008570B9"/>
    <w:rsid w:val="0086299A"/>
    <w:rsid w:val="00874BC8"/>
    <w:rsid w:val="0088374C"/>
    <w:rsid w:val="008B62A1"/>
    <w:rsid w:val="008B7BDE"/>
    <w:rsid w:val="008D1092"/>
    <w:rsid w:val="008D2804"/>
    <w:rsid w:val="008E4579"/>
    <w:rsid w:val="00900E6D"/>
    <w:rsid w:val="00912AAA"/>
    <w:rsid w:val="0092601B"/>
    <w:rsid w:val="0094122D"/>
    <w:rsid w:val="0094382E"/>
    <w:rsid w:val="00976D72"/>
    <w:rsid w:val="009802D2"/>
    <w:rsid w:val="009A48BC"/>
    <w:rsid w:val="009A781E"/>
    <w:rsid w:val="009B6166"/>
    <w:rsid w:val="009C0A54"/>
    <w:rsid w:val="009C2ECC"/>
    <w:rsid w:val="009D3230"/>
    <w:rsid w:val="009F136F"/>
    <w:rsid w:val="009F32C4"/>
    <w:rsid w:val="009F4F8D"/>
    <w:rsid w:val="00A03F5D"/>
    <w:rsid w:val="00A207DD"/>
    <w:rsid w:val="00A239F3"/>
    <w:rsid w:val="00A271B4"/>
    <w:rsid w:val="00A27FA0"/>
    <w:rsid w:val="00A316A7"/>
    <w:rsid w:val="00A368D6"/>
    <w:rsid w:val="00A443C4"/>
    <w:rsid w:val="00A72FA7"/>
    <w:rsid w:val="00A77E4A"/>
    <w:rsid w:val="00A83695"/>
    <w:rsid w:val="00A92C4C"/>
    <w:rsid w:val="00A95B37"/>
    <w:rsid w:val="00AA2CF4"/>
    <w:rsid w:val="00AA7618"/>
    <w:rsid w:val="00AB41FF"/>
    <w:rsid w:val="00AC166C"/>
    <w:rsid w:val="00AC1BE4"/>
    <w:rsid w:val="00AC6438"/>
    <w:rsid w:val="00AD191D"/>
    <w:rsid w:val="00AD4F0F"/>
    <w:rsid w:val="00AF423D"/>
    <w:rsid w:val="00AF6526"/>
    <w:rsid w:val="00B368DF"/>
    <w:rsid w:val="00B43792"/>
    <w:rsid w:val="00B45DD9"/>
    <w:rsid w:val="00B53A95"/>
    <w:rsid w:val="00B56635"/>
    <w:rsid w:val="00B62725"/>
    <w:rsid w:val="00B70784"/>
    <w:rsid w:val="00B80DF3"/>
    <w:rsid w:val="00B8234A"/>
    <w:rsid w:val="00B90A61"/>
    <w:rsid w:val="00BA035E"/>
    <w:rsid w:val="00BA128E"/>
    <w:rsid w:val="00BA3077"/>
    <w:rsid w:val="00BA6285"/>
    <w:rsid w:val="00BA716E"/>
    <w:rsid w:val="00BB7461"/>
    <w:rsid w:val="00BD18F7"/>
    <w:rsid w:val="00BD3EC6"/>
    <w:rsid w:val="00BD639E"/>
    <w:rsid w:val="00C147AA"/>
    <w:rsid w:val="00C21F6A"/>
    <w:rsid w:val="00C31C1B"/>
    <w:rsid w:val="00C326B9"/>
    <w:rsid w:val="00C35230"/>
    <w:rsid w:val="00C36E68"/>
    <w:rsid w:val="00C4269B"/>
    <w:rsid w:val="00C51BE7"/>
    <w:rsid w:val="00C61BDB"/>
    <w:rsid w:val="00C72771"/>
    <w:rsid w:val="00C75C88"/>
    <w:rsid w:val="00C82504"/>
    <w:rsid w:val="00C8672C"/>
    <w:rsid w:val="00C868BF"/>
    <w:rsid w:val="00C90632"/>
    <w:rsid w:val="00CB05FB"/>
    <w:rsid w:val="00CB549F"/>
    <w:rsid w:val="00CD025F"/>
    <w:rsid w:val="00D3440E"/>
    <w:rsid w:val="00D66FBB"/>
    <w:rsid w:val="00D67CE7"/>
    <w:rsid w:val="00D7518E"/>
    <w:rsid w:val="00D818E5"/>
    <w:rsid w:val="00D84B51"/>
    <w:rsid w:val="00D90C60"/>
    <w:rsid w:val="00D918ED"/>
    <w:rsid w:val="00D95274"/>
    <w:rsid w:val="00DA3981"/>
    <w:rsid w:val="00DB1CD9"/>
    <w:rsid w:val="00DB25E7"/>
    <w:rsid w:val="00DB4C6D"/>
    <w:rsid w:val="00DB543D"/>
    <w:rsid w:val="00DB6819"/>
    <w:rsid w:val="00DC43EC"/>
    <w:rsid w:val="00DD5FE3"/>
    <w:rsid w:val="00DD7693"/>
    <w:rsid w:val="00DF7456"/>
    <w:rsid w:val="00E012A7"/>
    <w:rsid w:val="00E35202"/>
    <w:rsid w:val="00E35286"/>
    <w:rsid w:val="00E4013E"/>
    <w:rsid w:val="00E405D4"/>
    <w:rsid w:val="00E505C6"/>
    <w:rsid w:val="00E51110"/>
    <w:rsid w:val="00E52957"/>
    <w:rsid w:val="00E57240"/>
    <w:rsid w:val="00E7490B"/>
    <w:rsid w:val="00E76B31"/>
    <w:rsid w:val="00E93BEC"/>
    <w:rsid w:val="00E96286"/>
    <w:rsid w:val="00E96CB1"/>
    <w:rsid w:val="00E97876"/>
    <w:rsid w:val="00E97961"/>
    <w:rsid w:val="00EA46E8"/>
    <w:rsid w:val="00ED6EA3"/>
    <w:rsid w:val="00EE748E"/>
    <w:rsid w:val="00EF0C58"/>
    <w:rsid w:val="00EF3BEA"/>
    <w:rsid w:val="00EF570C"/>
    <w:rsid w:val="00F01B27"/>
    <w:rsid w:val="00F0753F"/>
    <w:rsid w:val="00F128DF"/>
    <w:rsid w:val="00F1485C"/>
    <w:rsid w:val="00F35224"/>
    <w:rsid w:val="00F41DF6"/>
    <w:rsid w:val="00F46330"/>
    <w:rsid w:val="00F50555"/>
    <w:rsid w:val="00F51258"/>
    <w:rsid w:val="00F57077"/>
    <w:rsid w:val="00F743DA"/>
    <w:rsid w:val="00F83F3C"/>
    <w:rsid w:val="00F933F6"/>
    <w:rsid w:val="00FA2576"/>
    <w:rsid w:val="00FA4405"/>
    <w:rsid w:val="00FA7D3C"/>
    <w:rsid w:val="00FC5450"/>
    <w:rsid w:val="00FD5DBD"/>
    <w:rsid w:val="00FD6ADA"/>
    <w:rsid w:val="00FE2157"/>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67610A"/>
  <w15:docId w15:val="{8C64C26C-C752-4B24-937D-8945C325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B43"/>
    <w:pPr>
      <w:tabs>
        <w:tab w:val="center" w:pos="4680"/>
        <w:tab w:val="right" w:pos="9360"/>
      </w:tabs>
    </w:pPr>
  </w:style>
  <w:style w:type="character" w:customStyle="1" w:styleId="HeaderChar">
    <w:name w:val="Header Char"/>
    <w:basedOn w:val="DefaultParagraphFont"/>
    <w:link w:val="Header"/>
    <w:uiPriority w:val="99"/>
    <w:rsid w:val="00237B43"/>
  </w:style>
  <w:style w:type="paragraph" w:styleId="Footer">
    <w:name w:val="footer"/>
    <w:basedOn w:val="Normal"/>
    <w:link w:val="FooterChar"/>
    <w:uiPriority w:val="99"/>
    <w:unhideWhenUsed/>
    <w:rsid w:val="00237B43"/>
    <w:pPr>
      <w:tabs>
        <w:tab w:val="center" w:pos="4680"/>
        <w:tab w:val="right" w:pos="9360"/>
      </w:tabs>
    </w:pPr>
  </w:style>
  <w:style w:type="character" w:customStyle="1" w:styleId="FooterChar">
    <w:name w:val="Footer Char"/>
    <w:basedOn w:val="DefaultParagraphFont"/>
    <w:link w:val="Footer"/>
    <w:uiPriority w:val="99"/>
    <w:rsid w:val="00237B43"/>
  </w:style>
  <w:style w:type="paragraph" w:styleId="ListParagraph">
    <w:name w:val="List Paragraph"/>
    <w:basedOn w:val="Normal"/>
    <w:uiPriority w:val="34"/>
    <w:qFormat/>
    <w:rsid w:val="006814F2"/>
    <w:pPr>
      <w:ind w:left="720"/>
      <w:contextualSpacing/>
    </w:pPr>
    <w:rPr>
      <w:rFonts w:cstheme="minorBidi"/>
      <w:sz w:val="22"/>
    </w:rPr>
  </w:style>
  <w:style w:type="paragraph" w:styleId="BalloonText">
    <w:name w:val="Balloon Text"/>
    <w:basedOn w:val="Normal"/>
    <w:link w:val="BalloonTextChar"/>
    <w:uiPriority w:val="99"/>
    <w:semiHidden/>
    <w:unhideWhenUsed/>
    <w:rsid w:val="00295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61"/>
    <w:rPr>
      <w:rFonts w:ascii="Segoe UI" w:hAnsi="Segoe UI" w:cs="Segoe UI"/>
      <w:sz w:val="18"/>
      <w:szCs w:val="18"/>
    </w:rPr>
  </w:style>
  <w:style w:type="paragraph" w:styleId="FootnoteText">
    <w:name w:val="footnote text"/>
    <w:basedOn w:val="Normal"/>
    <w:link w:val="FootnoteTextChar"/>
    <w:uiPriority w:val="99"/>
    <w:semiHidden/>
    <w:unhideWhenUsed/>
    <w:rsid w:val="00F41DF6"/>
    <w:rPr>
      <w:sz w:val="20"/>
      <w:szCs w:val="20"/>
    </w:rPr>
  </w:style>
  <w:style w:type="character" w:customStyle="1" w:styleId="FootnoteTextChar">
    <w:name w:val="Footnote Text Char"/>
    <w:basedOn w:val="DefaultParagraphFont"/>
    <w:link w:val="FootnoteText"/>
    <w:uiPriority w:val="99"/>
    <w:semiHidden/>
    <w:rsid w:val="00F41DF6"/>
    <w:rPr>
      <w:sz w:val="20"/>
      <w:szCs w:val="20"/>
    </w:rPr>
  </w:style>
  <w:style w:type="character" w:styleId="FootnoteReference">
    <w:name w:val="footnote reference"/>
    <w:basedOn w:val="DefaultParagraphFont"/>
    <w:uiPriority w:val="99"/>
    <w:semiHidden/>
    <w:unhideWhenUsed/>
    <w:rsid w:val="00F41DF6"/>
    <w:rPr>
      <w:vertAlign w:val="superscript"/>
    </w:rPr>
  </w:style>
  <w:style w:type="character" w:styleId="CommentReference">
    <w:name w:val="annotation reference"/>
    <w:basedOn w:val="DefaultParagraphFont"/>
    <w:uiPriority w:val="99"/>
    <w:semiHidden/>
    <w:unhideWhenUsed/>
    <w:rsid w:val="00630EDE"/>
    <w:rPr>
      <w:sz w:val="16"/>
      <w:szCs w:val="16"/>
    </w:rPr>
  </w:style>
  <w:style w:type="paragraph" w:styleId="CommentText">
    <w:name w:val="annotation text"/>
    <w:basedOn w:val="Normal"/>
    <w:link w:val="CommentTextChar"/>
    <w:uiPriority w:val="99"/>
    <w:semiHidden/>
    <w:unhideWhenUsed/>
    <w:rsid w:val="00630EDE"/>
    <w:rPr>
      <w:sz w:val="20"/>
      <w:szCs w:val="20"/>
    </w:rPr>
  </w:style>
  <w:style w:type="character" w:customStyle="1" w:styleId="CommentTextChar">
    <w:name w:val="Comment Text Char"/>
    <w:basedOn w:val="DefaultParagraphFont"/>
    <w:link w:val="CommentText"/>
    <w:uiPriority w:val="99"/>
    <w:semiHidden/>
    <w:rsid w:val="00630EDE"/>
    <w:rPr>
      <w:sz w:val="20"/>
      <w:szCs w:val="20"/>
    </w:rPr>
  </w:style>
  <w:style w:type="paragraph" w:styleId="CommentSubject">
    <w:name w:val="annotation subject"/>
    <w:basedOn w:val="CommentText"/>
    <w:next w:val="CommentText"/>
    <w:link w:val="CommentSubjectChar"/>
    <w:uiPriority w:val="99"/>
    <w:semiHidden/>
    <w:unhideWhenUsed/>
    <w:rsid w:val="009F136F"/>
    <w:rPr>
      <w:b/>
      <w:bCs/>
    </w:rPr>
  </w:style>
  <w:style w:type="character" w:customStyle="1" w:styleId="CommentSubjectChar">
    <w:name w:val="Comment Subject Char"/>
    <w:basedOn w:val="CommentTextChar"/>
    <w:link w:val="CommentSubject"/>
    <w:uiPriority w:val="99"/>
    <w:semiHidden/>
    <w:rsid w:val="009F136F"/>
    <w:rPr>
      <w:b/>
      <w:bCs/>
      <w:sz w:val="20"/>
      <w:szCs w:val="20"/>
    </w:rPr>
  </w:style>
  <w:style w:type="character" w:styleId="Hyperlink">
    <w:name w:val="Hyperlink"/>
    <w:basedOn w:val="DefaultParagraphFont"/>
    <w:uiPriority w:val="99"/>
    <w:unhideWhenUsed/>
    <w:rsid w:val="00DB4C6D"/>
    <w:rPr>
      <w:color w:val="0563C1"/>
      <w:u w:val="single"/>
    </w:rPr>
  </w:style>
  <w:style w:type="paragraph" w:styleId="Revision">
    <w:name w:val="Revision"/>
    <w:hidden/>
    <w:uiPriority w:val="99"/>
    <w:semiHidden/>
    <w:rsid w:val="008B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6492">
      <w:bodyDiv w:val="1"/>
      <w:marLeft w:val="0"/>
      <w:marRight w:val="0"/>
      <w:marTop w:val="0"/>
      <w:marBottom w:val="0"/>
      <w:divBdr>
        <w:top w:val="none" w:sz="0" w:space="0" w:color="auto"/>
        <w:left w:val="none" w:sz="0" w:space="0" w:color="auto"/>
        <w:bottom w:val="none" w:sz="0" w:space="0" w:color="auto"/>
        <w:right w:val="none" w:sz="0" w:space="0" w:color="auto"/>
      </w:divBdr>
    </w:div>
    <w:div w:id="626592752">
      <w:bodyDiv w:val="1"/>
      <w:marLeft w:val="0"/>
      <w:marRight w:val="0"/>
      <w:marTop w:val="0"/>
      <w:marBottom w:val="0"/>
      <w:divBdr>
        <w:top w:val="none" w:sz="0" w:space="0" w:color="auto"/>
        <w:left w:val="none" w:sz="0" w:space="0" w:color="auto"/>
        <w:bottom w:val="none" w:sz="0" w:space="0" w:color="auto"/>
        <w:right w:val="none" w:sz="0" w:space="0" w:color="auto"/>
      </w:divBdr>
    </w:div>
    <w:div w:id="653415916">
      <w:bodyDiv w:val="1"/>
      <w:marLeft w:val="0"/>
      <w:marRight w:val="0"/>
      <w:marTop w:val="0"/>
      <w:marBottom w:val="0"/>
      <w:divBdr>
        <w:top w:val="none" w:sz="0" w:space="0" w:color="auto"/>
        <w:left w:val="none" w:sz="0" w:space="0" w:color="auto"/>
        <w:bottom w:val="none" w:sz="0" w:space="0" w:color="auto"/>
        <w:right w:val="none" w:sz="0" w:space="0" w:color="auto"/>
      </w:divBdr>
    </w:div>
    <w:div w:id="700324040">
      <w:bodyDiv w:val="1"/>
      <w:marLeft w:val="0"/>
      <w:marRight w:val="0"/>
      <w:marTop w:val="0"/>
      <w:marBottom w:val="0"/>
      <w:divBdr>
        <w:top w:val="none" w:sz="0" w:space="0" w:color="auto"/>
        <w:left w:val="none" w:sz="0" w:space="0" w:color="auto"/>
        <w:bottom w:val="none" w:sz="0" w:space="0" w:color="auto"/>
        <w:right w:val="none" w:sz="0" w:space="0" w:color="auto"/>
      </w:divBdr>
    </w:div>
    <w:div w:id="716205490">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800654281">
      <w:bodyDiv w:val="1"/>
      <w:marLeft w:val="0"/>
      <w:marRight w:val="0"/>
      <w:marTop w:val="0"/>
      <w:marBottom w:val="0"/>
      <w:divBdr>
        <w:top w:val="none" w:sz="0" w:space="0" w:color="auto"/>
        <w:left w:val="none" w:sz="0" w:space="0" w:color="auto"/>
        <w:bottom w:val="none" w:sz="0" w:space="0" w:color="auto"/>
        <w:right w:val="none" w:sz="0" w:space="0" w:color="auto"/>
      </w:divBdr>
    </w:div>
    <w:div w:id="801339169">
      <w:bodyDiv w:val="1"/>
      <w:marLeft w:val="0"/>
      <w:marRight w:val="0"/>
      <w:marTop w:val="0"/>
      <w:marBottom w:val="0"/>
      <w:divBdr>
        <w:top w:val="none" w:sz="0" w:space="0" w:color="auto"/>
        <w:left w:val="none" w:sz="0" w:space="0" w:color="auto"/>
        <w:bottom w:val="none" w:sz="0" w:space="0" w:color="auto"/>
        <w:right w:val="none" w:sz="0" w:space="0" w:color="auto"/>
      </w:divBdr>
    </w:div>
    <w:div w:id="972439260">
      <w:bodyDiv w:val="1"/>
      <w:marLeft w:val="0"/>
      <w:marRight w:val="0"/>
      <w:marTop w:val="0"/>
      <w:marBottom w:val="0"/>
      <w:divBdr>
        <w:top w:val="none" w:sz="0" w:space="0" w:color="auto"/>
        <w:left w:val="none" w:sz="0" w:space="0" w:color="auto"/>
        <w:bottom w:val="none" w:sz="0" w:space="0" w:color="auto"/>
        <w:right w:val="none" w:sz="0" w:space="0" w:color="auto"/>
      </w:divBdr>
    </w:div>
    <w:div w:id="1019350097">
      <w:bodyDiv w:val="1"/>
      <w:marLeft w:val="0"/>
      <w:marRight w:val="0"/>
      <w:marTop w:val="0"/>
      <w:marBottom w:val="0"/>
      <w:divBdr>
        <w:top w:val="none" w:sz="0" w:space="0" w:color="auto"/>
        <w:left w:val="none" w:sz="0" w:space="0" w:color="auto"/>
        <w:bottom w:val="none" w:sz="0" w:space="0" w:color="auto"/>
        <w:right w:val="none" w:sz="0" w:space="0" w:color="auto"/>
      </w:divBdr>
    </w:div>
    <w:div w:id="1198201833">
      <w:bodyDiv w:val="1"/>
      <w:marLeft w:val="0"/>
      <w:marRight w:val="0"/>
      <w:marTop w:val="0"/>
      <w:marBottom w:val="0"/>
      <w:divBdr>
        <w:top w:val="none" w:sz="0" w:space="0" w:color="auto"/>
        <w:left w:val="none" w:sz="0" w:space="0" w:color="auto"/>
        <w:bottom w:val="none" w:sz="0" w:space="0" w:color="auto"/>
        <w:right w:val="none" w:sz="0" w:space="0" w:color="auto"/>
      </w:divBdr>
    </w:div>
    <w:div w:id="1423792749">
      <w:bodyDiv w:val="1"/>
      <w:marLeft w:val="0"/>
      <w:marRight w:val="0"/>
      <w:marTop w:val="0"/>
      <w:marBottom w:val="0"/>
      <w:divBdr>
        <w:top w:val="none" w:sz="0" w:space="0" w:color="auto"/>
        <w:left w:val="none" w:sz="0" w:space="0" w:color="auto"/>
        <w:bottom w:val="none" w:sz="0" w:space="0" w:color="auto"/>
        <w:right w:val="none" w:sz="0" w:space="0" w:color="auto"/>
      </w:divBdr>
    </w:div>
    <w:div w:id="1673138746">
      <w:bodyDiv w:val="1"/>
      <w:marLeft w:val="0"/>
      <w:marRight w:val="0"/>
      <w:marTop w:val="0"/>
      <w:marBottom w:val="0"/>
      <w:divBdr>
        <w:top w:val="none" w:sz="0" w:space="0" w:color="auto"/>
        <w:left w:val="none" w:sz="0" w:space="0" w:color="auto"/>
        <w:bottom w:val="none" w:sz="0" w:space="0" w:color="auto"/>
        <w:right w:val="none" w:sz="0" w:space="0" w:color="auto"/>
      </w:divBdr>
    </w:div>
    <w:div w:id="1810198330">
      <w:bodyDiv w:val="1"/>
      <w:marLeft w:val="0"/>
      <w:marRight w:val="0"/>
      <w:marTop w:val="0"/>
      <w:marBottom w:val="0"/>
      <w:divBdr>
        <w:top w:val="none" w:sz="0" w:space="0" w:color="auto"/>
        <w:left w:val="none" w:sz="0" w:space="0" w:color="auto"/>
        <w:bottom w:val="none" w:sz="0" w:space="0" w:color="auto"/>
        <w:right w:val="none" w:sz="0" w:space="0" w:color="auto"/>
      </w:divBdr>
    </w:div>
    <w:div w:id="2105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npcresearch.com/Files/Best_practices_in_drug_courts_2012.pdf" TargetMode="External"/><Relationship Id="rId1" Type="http://schemas.openxmlformats.org/officeDocument/2006/relationships/hyperlink" Target="https://www.lafollette.wisc.edu/images/publications/PIP/Kroll_2014_PPM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ourts.wa.gov\aoc\Groups\JSD%20Research\Therapeutic%20Courts\Data%20Improvement%20Project\2015\Reformatted%20Data\Retention%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ourts.wa.gov\aoc\Groups\JSD%20Research\Therapeutic%20Courts\Data%20Improvement%20Project\2015\Reformatted%20Data\Retention%20v-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6 and 18 Month Outocmes and Retention for 2012 Admissions (N = 1497)</a:t>
            </a:r>
            <a:endParaRPr lang="en-US" sz="16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'2012charts1'!$A$5</c:f>
              <c:strCache>
                <c:ptCount val="1"/>
                <c:pt idx="0">
                  <c:v>After 6 months</c:v>
                </c:pt>
              </c:strCache>
            </c:strRef>
          </c:tx>
          <c:spPr>
            <a:solidFill>
              <a:schemeClr val="accent1"/>
            </a:solidFill>
            <a:ln>
              <a:noFill/>
            </a:ln>
            <a:effectLst/>
          </c:spPr>
          <c:invertIfNegative val="0"/>
          <c:dLbls>
            <c:dLbl>
              <c:idx val="0"/>
              <c:layout>
                <c:manualLayout>
                  <c:x val="-1.9586668320030757E-17"/>
                  <c:y val="1.264622194119506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36752136752137E-3"/>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735042735042739E-3"/>
                  <c:y val="1.580777742649371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735042735042739E-3"/>
                  <c:y val="1.896933291179260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36752136752215E-3"/>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136752136752215E-3"/>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136752136752137E-3"/>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1.580777742649377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'2012charts1'!$B$4:$I$4</c:f>
              <c:strCache>
                <c:ptCount val="8"/>
                <c:pt idx="0">
                  <c:v>Terminated</c:v>
                </c:pt>
                <c:pt idx="1">
                  <c:v>Admission Denied</c:v>
                </c:pt>
                <c:pt idx="2">
                  <c:v>Opted-out</c:v>
                </c:pt>
                <c:pt idx="3">
                  <c:v>Withdrew</c:v>
                </c:pt>
                <c:pt idx="4">
                  <c:v>Deceased</c:v>
                </c:pt>
                <c:pt idx="5">
                  <c:v>Graduated</c:v>
                </c:pt>
                <c:pt idx="6">
                  <c:v>Active</c:v>
                </c:pt>
                <c:pt idx="7">
                  <c:v>Retention Rate</c:v>
                </c:pt>
              </c:strCache>
            </c:strRef>
          </c:cat>
          <c:val>
            <c:numRef>
              <c:f>'2012charts1'!$B$5:$I$5</c:f>
              <c:numCache>
                <c:formatCode>0%</c:formatCode>
                <c:ptCount val="8"/>
                <c:pt idx="0">
                  <c:v>9.1516366065464261E-2</c:v>
                </c:pt>
                <c:pt idx="1">
                  <c:v>4.6760187040748163E-3</c:v>
                </c:pt>
                <c:pt idx="2">
                  <c:v>0.10955243820975284</c:v>
                </c:pt>
                <c:pt idx="3">
                  <c:v>0.11222444889779559</c:v>
                </c:pt>
                <c:pt idx="4">
                  <c:v>6.680026720106881E-4</c:v>
                </c:pt>
                <c:pt idx="5">
                  <c:v>4.6760187040748163E-3</c:v>
                </c:pt>
                <c:pt idx="6">
                  <c:v>0.67668670674682696</c:v>
                </c:pt>
                <c:pt idx="7">
                  <c:v>0.68136272545090182</c:v>
                </c:pt>
              </c:numCache>
            </c:numRef>
          </c:val>
        </c:ser>
        <c:ser>
          <c:idx val="1"/>
          <c:order val="1"/>
          <c:tx>
            <c:strRef>
              <c:f>'2012charts1'!$A$6</c:f>
              <c:strCache>
                <c:ptCount val="1"/>
                <c:pt idx="0">
                  <c:v>After 18 months</c:v>
                </c:pt>
              </c:strCache>
            </c:strRef>
          </c:tx>
          <c:spPr>
            <a:solidFill>
              <a:schemeClr val="accent1">
                <a:lumMod val="50000"/>
              </a:schemeClr>
            </a:solidFill>
            <a:ln>
              <a:noFill/>
            </a:ln>
            <a:effectLst/>
          </c:spPr>
          <c:invertIfNegative val="0"/>
          <c:dLbls>
            <c:dLbl>
              <c:idx val="0"/>
              <c:layout>
                <c:manualLayout>
                  <c:x val="0"/>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41025641025641E-3"/>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173336640061513E-17"/>
                  <c:y val="1.896933291179260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73504273504195E-3"/>
                  <c:y val="1.580777742649371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683760683760606E-2"/>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41025641025641E-3"/>
                  <c:y val="1.264622194119506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5470085470085479E-3"/>
                  <c:y val="1.58077774264938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'2012charts1'!$B$4:$I$4</c:f>
              <c:strCache>
                <c:ptCount val="8"/>
                <c:pt idx="0">
                  <c:v>Terminated</c:v>
                </c:pt>
                <c:pt idx="1">
                  <c:v>Admission Denied</c:v>
                </c:pt>
                <c:pt idx="2">
                  <c:v>Opted-out</c:v>
                </c:pt>
                <c:pt idx="3">
                  <c:v>Withdrew</c:v>
                </c:pt>
                <c:pt idx="4">
                  <c:v>Deceased</c:v>
                </c:pt>
                <c:pt idx="5">
                  <c:v>Graduated</c:v>
                </c:pt>
                <c:pt idx="6">
                  <c:v>Active</c:v>
                </c:pt>
                <c:pt idx="7">
                  <c:v>Retention Rate</c:v>
                </c:pt>
              </c:strCache>
            </c:strRef>
          </c:cat>
          <c:val>
            <c:numRef>
              <c:f>'2012charts1'!$B$6:$I$6</c:f>
              <c:numCache>
                <c:formatCode>0%</c:formatCode>
                <c:ptCount val="8"/>
                <c:pt idx="0">
                  <c:v>0.26386105544422178</c:v>
                </c:pt>
                <c:pt idx="1">
                  <c:v>4.6760187040748163E-3</c:v>
                </c:pt>
                <c:pt idx="2">
                  <c:v>0.15965263861055445</c:v>
                </c:pt>
                <c:pt idx="3">
                  <c:v>2.7388109552438211E-2</c:v>
                </c:pt>
                <c:pt idx="4">
                  <c:v>1.3360053440213762E-3</c:v>
                </c:pt>
                <c:pt idx="5">
                  <c:v>0.19772879091516365</c:v>
                </c:pt>
                <c:pt idx="6">
                  <c:v>0.34535738142952571</c:v>
                </c:pt>
                <c:pt idx="7">
                  <c:v>0.54308617234468937</c:v>
                </c:pt>
              </c:numCache>
            </c:numRef>
          </c:val>
        </c:ser>
        <c:dLbls>
          <c:dLblPos val="outEnd"/>
          <c:showLegendKey val="0"/>
          <c:showVal val="1"/>
          <c:showCatName val="0"/>
          <c:showSerName val="0"/>
          <c:showPercent val="0"/>
          <c:showBubbleSize val="0"/>
        </c:dLbls>
        <c:gapWidth val="219"/>
        <c:overlap val="-27"/>
        <c:axId val="552222216"/>
        <c:axId val="552222608"/>
      </c:barChart>
      <c:catAx>
        <c:axId val="55222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222608"/>
        <c:crosses val="autoZero"/>
        <c:auto val="1"/>
        <c:lblAlgn val="ctr"/>
        <c:lblOffset val="100"/>
        <c:noMultiLvlLbl val="0"/>
      </c:catAx>
      <c:valAx>
        <c:axId val="552222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222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18 Month Retention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5091037158586064E-2"/>
          <c:y val="0.14658220882241021"/>
          <c:w val="0.85082104616982845"/>
          <c:h val="0.82070403653074964"/>
        </c:manualLayout>
      </c:layout>
      <c:barChart>
        <c:barDir val="bar"/>
        <c:grouping val="clustered"/>
        <c:varyColors val="0"/>
        <c:ser>
          <c:idx val="0"/>
          <c:order val="0"/>
          <c:spPr>
            <a:solidFill>
              <a:schemeClr val="accent1"/>
            </a:solidFill>
            <a:ln>
              <a:noFill/>
            </a:ln>
            <a:effectLst/>
          </c:spPr>
          <c:invertIfNegative val="0"/>
          <c:dPt>
            <c:idx val="1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'2012pivots'!$D$60:$D$83</c:f>
              <c:strCache>
                <c:ptCount val="24"/>
                <c:pt idx="0">
                  <c:v>Court A</c:v>
                </c:pt>
                <c:pt idx="1">
                  <c:v>Court B*</c:v>
                </c:pt>
                <c:pt idx="2">
                  <c:v>Court C*</c:v>
                </c:pt>
                <c:pt idx="3">
                  <c:v>Court D</c:v>
                </c:pt>
                <c:pt idx="4">
                  <c:v>Court E</c:v>
                </c:pt>
                <c:pt idx="5">
                  <c:v>Court F</c:v>
                </c:pt>
                <c:pt idx="6">
                  <c:v>Court G</c:v>
                </c:pt>
                <c:pt idx="7">
                  <c:v>Court H</c:v>
                </c:pt>
                <c:pt idx="8">
                  <c:v>Court I</c:v>
                </c:pt>
                <c:pt idx="9">
                  <c:v>Court J</c:v>
                </c:pt>
                <c:pt idx="10">
                  <c:v>Court K</c:v>
                </c:pt>
                <c:pt idx="11">
                  <c:v>Court L</c:v>
                </c:pt>
                <c:pt idx="12">
                  <c:v>Court M</c:v>
                </c:pt>
                <c:pt idx="13">
                  <c:v>Counr N</c:v>
                </c:pt>
                <c:pt idx="15">
                  <c:v>Court O</c:v>
                </c:pt>
                <c:pt idx="16">
                  <c:v>Court P</c:v>
                </c:pt>
                <c:pt idx="17">
                  <c:v>Court Q</c:v>
                </c:pt>
                <c:pt idx="18">
                  <c:v>Court R</c:v>
                </c:pt>
                <c:pt idx="19">
                  <c:v>Court S</c:v>
                </c:pt>
                <c:pt idx="20">
                  <c:v>Court T</c:v>
                </c:pt>
                <c:pt idx="21">
                  <c:v>Court U*</c:v>
                </c:pt>
                <c:pt idx="22">
                  <c:v>Court V</c:v>
                </c:pt>
                <c:pt idx="23">
                  <c:v>Court W</c:v>
                </c:pt>
              </c:strCache>
            </c:strRef>
          </c:cat>
          <c:val>
            <c:numRef>
              <c:f>'2012pivots'!$E$60:$E$83</c:f>
              <c:numCache>
                <c:formatCode>0%</c:formatCode>
                <c:ptCount val="24"/>
                <c:pt idx="0">
                  <c:v>1</c:v>
                </c:pt>
                <c:pt idx="1">
                  <c:v>1</c:v>
                </c:pt>
                <c:pt idx="2">
                  <c:v>1</c:v>
                </c:pt>
                <c:pt idx="3">
                  <c:v>0.7567567567567568</c:v>
                </c:pt>
                <c:pt idx="4">
                  <c:v>0.72222222222222221</c:v>
                </c:pt>
                <c:pt idx="5">
                  <c:v>0.68292682926829273</c:v>
                </c:pt>
                <c:pt idx="6">
                  <c:v>0.67567567567567566</c:v>
                </c:pt>
                <c:pt idx="7">
                  <c:v>0.61403508771929827</c:v>
                </c:pt>
                <c:pt idx="8">
                  <c:v>0.58333333333333337</c:v>
                </c:pt>
                <c:pt idx="9">
                  <c:v>0.57894736842105265</c:v>
                </c:pt>
                <c:pt idx="10">
                  <c:v>0.56716417910447758</c:v>
                </c:pt>
                <c:pt idx="11">
                  <c:v>0.55172413793103448</c:v>
                </c:pt>
                <c:pt idx="12">
                  <c:v>0.55084745762711862</c:v>
                </c:pt>
                <c:pt idx="13">
                  <c:v>0.54545454545454541</c:v>
                </c:pt>
                <c:pt idx="14">
                  <c:v>0.54442217768871071</c:v>
                </c:pt>
                <c:pt idx="15">
                  <c:v>0.53846153846153844</c:v>
                </c:pt>
                <c:pt idx="16">
                  <c:v>0.53846153846153844</c:v>
                </c:pt>
                <c:pt idx="17">
                  <c:v>0.51724137931034486</c:v>
                </c:pt>
                <c:pt idx="18">
                  <c:v>0.5094736842105263</c:v>
                </c:pt>
                <c:pt idx="19">
                  <c:v>0.5</c:v>
                </c:pt>
                <c:pt idx="20">
                  <c:v>0.45112781954887216</c:v>
                </c:pt>
                <c:pt idx="21">
                  <c:v>0.42857142857142855</c:v>
                </c:pt>
                <c:pt idx="22">
                  <c:v>0.3</c:v>
                </c:pt>
                <c:pt idx="23">
                  <c:v>0.2</c:v>
                </c:pt>
              </c:numCache>
            </c:numRef>
          </c:val>
        </c:ser>
        <c:dLbls>
          <c:showLegendKey val="0"/>
          <c:showVal val="0"/>
          <c:showCatName val="0"/>
          <c:showSerName val="0"/>
          <c:showPercent val="0"/>
          <c:showBubbleSize val="0"/>
        </c:dLbls>
        <c:gapWidth val="65"/>
        <c:axId val="381569248"/>
        <c:axId val="381569640"/>
      </c:barChart>
      <c:catAx>
        <c:axId val="381569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569640"/>
        <c:crosses val="autoZero"/>
        <c:auto val="1"/>
        <c:lblAlgn val="ctr"/>
        <c:lblOffset val="100"/>
        <c:noMultiLvlLbl val="0"/>
      </c:catAx>
      <c:valAx>
        <c:axId val="38156964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56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0.5918</cdr:x>
      <cdr:y>0.64637</cdr:y>
    </cdr:from>
    <cdr:to>
      <cdr:x>0.95082</cdr:x>
      <cdr:y>0.69087</cdr:y>
    </cdr:to>
    <cdr:sp macro="" textlink="">
      <cdr:nvSpPr>
        <cdr:cNvPr id="2" name="TextBox 1"/>
        <cdr:cNvSpPr txBox="1"/>
      </cdr:nvSpPr>
      <cdr:spPr>
        <a:xfrm xmlns:a="http://schemas.openxmlformats.org/drawingml/2006/main">
          <a:off x="3438525" y="2628901"/>
          <a:ext cx="208597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0.57049</cdr:x>
      <cdr:y>0.63466</cdr:y>
    </cdr:from>
    <cdr:to>
      <cdr:x>0.9541</cdr:x>
      <cdr:y>0.6815</cdr:y>
    </cdr:to>
    <cdr:sp macro="" textlink="">
      <cdr:nvSpPr>
        <cdr:cNvPr id="4" name="TextBox 3"/>
        <cdr:cNvSpPr txBox="1"/>
      </cdr:nvSpPr>
      <cdr:spPr>
        <a:xfrm xmlns:a="http://schemas.openxmlformats.org/drawingml/2006/main">
          <a:off x="3314700" y="2581277"/>
          <a:ext cx="22288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0.61233</cdr:x>
      <cdr:y>0.6223</cdr:y>
    </cdr:from>
    <cdr:to>
      <cdr:x>0.98051</cdr:x>
      <cdr:y>0.66914</cdr:y>
    </cdr:to>
    <cdr:sp macro="" textlink="">
      <cdr:nvSpPr>
        <cdr:cNvPr id="5" name="TextBox 4"/>
        <cdr:cNvSpPr txBox="1"/>
      </cdr:nvSpPr>
      <cdr:spPr>
        <a:xfrm xmlns:a="http://schemas.openxmlformats.org/drawingml/2006/main">
          <a:off x="3890229" y="2657475"/>
          <a:ext cx="2339121" cy="20002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nchor="ctr"/>
        <a:lstStyle xmlns:a="http://schemas.openxmlformats.org/drawingml/2006/main"/>
        <a:p xmlns:a="http://schemas.openxmlformats.org/drawingml/2006/main">
          <a:r>
            <a:rPr lang="en-US" sz="900"/>
            <a:t>Average</a:t>
          </a:r>
          <a:r>
            <a:rPr lang="en-US" sz="900" baseline="0"/>
            <a:t> for All Washington Adult Drug Courts</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D1835B-FEC8-4DA1-84C9-6F4AE6B6253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6F14-1E9C-4C01-8BF5-52D2F1AD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2592</Words>
  <Characters>14778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Backus, Brian</dc:creator>
  <cp:lastModifiedBy>Skreen, Janet</cp:lastModifiedBy>
  <cp:revision>2</cp:revision>
  <cp:lastPrinted>2015-11-03T17:21:00Z</cp:lastPrinted>
  <dcterms:created xsi:type="dcterms:W3CDTF">2015-11-03T21:57:00Z</dcterms:created>
  <dcterms:modified xsi:type="dcterms:W3CDTF">2015-11-03T21:57:00Z</dcterms:modified>
</cp:coreProperties>
</file>